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52" w:type="dxa"/>
        <w:tblLayout w:type="fixed"/>
        <w:tblCellMar>
          <w:left w:w="0" w:type="dxa"/>
          <w:right w:w="0" w:type="dxa"/>
        </w:tblCellMar>
        <w:tblLook w:val="01E0" w:firstRow="1" w:lastRow="1" w:firstColumn="1" w:lastColumn="1" w:noHBand="0" w:noVBand="0"/>
      </w:tblPr>
      <w:tblGrid>
        <w:gridCol w:w="1538"/>
        <w:gridCol w:w="2715"/>
        <w:gridCol w:w="539"/>
        <w:gridCol w:w="2260"/>
      </w:tblGrid>
      <w:tr w:rsidR="00793644" w:rsidTr="00C96DE8">
        <w:trPr>
          <w:trHeight w:val="174"/>
        </w:trPr>
        <w:tc>
          <w:tcPr>
            <w:tcW w:w="4253" w:type="dxa"/>
            <w:gridSpan w:val="2"/>
            <w:shd w:val="clear" w:color="auto" w:fill="auto"/>
          </w:tcPr>
          <w:p w:rsidR="00793644" w:rsidRPr="00793644" w:rsidRDefault="00F12AB9" w:rsidP="00AD09D5">
            <w:pPr>
              <w:pStyle w:val="Dokumenttype"/>
            </w:pPr>
            <w:r>
              <w:rPr>
                <w:noProof/>
              </w:rPr>
              <w:drawing>
                <wp:anchor distT="0" distB="0" distL="114300" distR="114300" simplePos="0" relativeHeight="251657728" behindDoc="0" locked="0" layoutInCell="1" allowOverlap="1" wp14:anchorId="739E1252" wp14:editId="1231C90E">
                  <wp:simplePos x="0" y="0"/>
                  <wp:positionH relativeFrom="column">
                    <wp:posOffset>4817110</wp:posOffset>
                  </wp:positionH>
                  <wp:positionV relativeFrom="paragraph">
                    <wp:posOffset>-1235075</wp:posOffset>
                  </wp:positionV>
                  <wp:extent cx="1007110" cy="1054735"/>
                  <wp:effectExtent l="0" t="0" r="2540" b="0"/>
                  <wp:wrapNone/>
                  <wp:docPr id="6" name="Billede 6"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F_logo_Pantone-1400"/>
                          <pic:cNvPicPr>
                            <a:picLocks noChangeAspect="1" noChangeArrowheads="1"/>
                          </pic:cNvPicPr>
                        </pic:nvPicPr>
                        <pic:blipFill>
                          <a:blip r:embed="rId9" cstate="print">
                            <a:lum bright="12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9D5">
              <w:t>Gør en god skole endnu bedre</w:t>
            </w:r>
            <w:r w:rsidR="00AD09D5">
              <w:rPr>
                <w:rStyle w:val="Fodnotehenvisning"/>
              </w:rPr>
              <w:footnoteReference w:id="1"/>
            </w:r>
          </w:p>
        </w:tc>
        <w:tc>
          <w:tcPr>
            <w:tcW w:w="539" w:type="dxa"/>
            <w:vMerge w:val="restart"/>
            <w:shd w:val="clear" w:color="auto" w:fill="auto"/>
          </w:tcPr>
          <w:p w:rsidR="00793644" w:rsidRPr="009805A5" w:rsidRDefault="00793644" w:rsidP="00846A86">
            <w:pPr>
              <w:rPr>
                <w:sz w:val="16"/>
                <w:szCs w:val="16"/>
              </w:rPr>
            </w:pPr>
          </w:p>
        </w:tc>
        <w:tc>
          <w:tcPr>
            <w:tcW w:w="2260" w:type="dxa"/>
            <w:vMerge w:val="restart"/>
            <w:shd w:val="clear" w:color="auto" w:fill="auto"/>
          </w:tcPr>
          <w:p w:rsidR="00793644" w:rsidRDefault="00793644" w:rsidP="00846A86"/>
        </w:tc>
      </w:tr>
      <w:tr w:rsidR="00793644" w:rsidTr="00C96DE8">
        <w:trPr>
          <w:trHeight w:hRule="exact" w:val="1928"/>
        </w:trPr>
        <w:tc>
          <w:tcPr>
            <w:tcW w:w="1538" w:type="dxa"/>
            <w:shd w:val="clear" w:color="auto" w:fill="auto"/>
          </w:tcPr>
          <w:p w:rsidR="0002685C" w:rsidRDefault="0002685C" w:rsidP="0002685C"/>
        </w:tc>
        <w:tc>
          <w:tcPr>
            <w:tcW w:w="2715" w:type="dxa"/>
            <w:shd w:val="clear" w:color="auto" w:fill="auto"/>
          </w:tcPr>
          <w:p w:rsidR="00276639" w:rsidRPr="009805A5" w:rsidRDefault="00276639" w:rsidP="00276639">
            <w:pPr>
              <w:rPr>
                <w:b/>
              </w:rPr>
            </w:pPr>
          </w:p>
          <w:bookmarkStart w:id="0" w:name="sagsbeh2_"/>
          <w:bookmarkEnd w:id="0"/>
          <w:p w:rsidR="00276639" w:rsidRDefault="00276639" w:rsidP="00276639">
            <w:r>
              <w:fldChar w:fldCharType="begin"/>
            </w:r>
            <w:r>
              <w:instrText xml:space="preserve"> FORMTEXT&lt;Modtagerinitialer&gt; </w:instrText>
            </w:r>
            <w:r>
              <w:fldChar w:fldCharType="end"/>
            </w:r>
          </w:p>
          <w:p w:rsidR="00276639" w:rsidRDefault="00276639" w:rsidP="00276639">
            <w:r>
              <w:fldChar w:fldCharType="begin"/>
            </w:r>
            <w:r>
              <w:instrText xml:space="preserve"> FORMTEXT&lt;Orienteringinitialer&gt; </w:instrText>
            </w:r>
            <w:r>
              <w:fldChar w:fldCharType="end"/>
            </w:r>
          </w:p>
          <w:p w:rsidR="00793644" w:rsidRDefault="00C23093" w:rsidP="00276639">
            <w:r>
              <w:fldChar w:fldCharType="begin"/>
            </w:r>
            <w:r>
              <w:instrText xml:space="preserve"> FORMTEXT</w:instrText>
            </w:r>
            <w:r w:rsidR="00793644">
              <w:instrText>&lt;Referenceinitialer&gt;</w:instrText>
            </w:r>
            <w:r>
              <w:instrText xml:space="preserve"> </w:instrText>
            </w:r>
            <w:r>
              <w:fldChar w:fldCharType="end"/>
            </w:r>
          </w:p>
        </w:tc>
        <w:tc>
          <w:tcPr>
            <w:tcW w:w="539" w:type="dxa"/>
            <w:vMerge/>
            <w:shd w:val="clear" w:color="auto" w:fill="auto"/>
          </w:tcPr>
          <w:p w:rsidR="00793644" w:rsidRPr="009805A5" w:rsidRDefault="00793644" w:rsidP="00846A86">
            <w:pPr>
              <w:rPr>
                <w:sz w:val="16"/>
                <w:szCs w:val="16"/>
              </w:rPr>
            </w:pPr>
          </w:p>
        </w:tc>
        <w:tc>
          <w:tcPr>
            <w:tcW w:w="2260" w:type="dxa"/>
            <w:vMerge/>
            <w:shd w:val="clear" w:color="auto" w:fill="auto"/>
          </w:tcPr>
          <w:p w:rsidR="00793644" w:rsidRDefault="00793644" w:rsidP="00846A86"/>
        </w:tc>
      </w:tr>
      <w:tr w:rsidR="00505057" w:rsidRPr="00C96DE8" w:rsidTr="00C96DE8">
        <w:tc>
          <w:tcPr>
            <w:tcW w:w="4253" w:type="dxa"/>
            <w:gridSpan w:val="2"/>
            <w:shd w:val="clear" w:color="auto" w:fill="auto"/>
          </w:tcPr>
          <w:p w:rsidR="00505057" w:rsidRDefault="00505057" w:rsidP="00C96DE8"/>
          <w:p w:rsidR="00C96DE8" w:rsidRDefault="00C96DE8" w:rsidP="0066061D">
            <w:pPr>
              <w:pStyle w:val="Overskrift1"/>
              <w:rPr>
                <w:rFonts w:ascii="Garamond" w:hAnsi="Garamond"/>
                <w:b w:val="0"/>
                <w:bCs w:val="0"/>
                <w:i/>
                <w:kern w:val="0"/>
                <w:sz w:val="23"/>
                <w:szCs w:val="23"/>
              </w:rPr>
            </w:pPr>
          </w:p>
          <w:p w:rsidR="00C96DE8" w:rsidRDefault="00C96DE8" w:rsidP="0066061D">
            <w:pPr>
              <w:pStyle w:val="Overskrift1"/>
              <w:rPr>
                <w:rFonts w:ascii="Garamond" w:hAnsi="Garamond"/>
                <w:b w:val="0"/>
                <w:bCs w:val="0"/>
                <w:i/>
                <w:kern w:val="0"/>
                <w:sz w:val="23"/>
                <w:szCs w:val="23"/>
              </w:rPr>
            </w:pPr>
          </w:p>
          <w:p w:rsidR="00505057" w:rsidRPr="004E0FB7" w:rsidRDefault="004E0FB7" w:rsidP="0066061D">
            <w:pPr>
              <w:pStyle w:val="Overskrift1"/>
              <w:rPr>
                <w:rFonts w:ascii="Garamond" w:hAnsi="Garamond"/>
                <w:b w:val="0"/>
                <w:bCs w:val="0"/>
                <w:i/>
                <w:kern w:val="0"/>
                <w:sz w:val="23"/>
                <w:szCs w:val="23"/>
              </w:rPr>
            </w:pPr>
            <w:r w:rsidRPr="004E0FB7">
              <w:rPr>
                <w:rFonts w:ascii="Garamond" w:hAnsi="Garamond"/>
                <w:b w:val="0"/>
                <w:bCs w:val="0"/>
                <w:i/>
                <w:kern w:val="0"/>
                <w:sz w:val="23"/>
                <w:szCs w:val="23"/>
              </w:rPr>
              <w:t>En øget undervisningstid har gennemgående en positiv effekt. Det forudsætter dog, at eleverne er engageret i undervisningen, og at undervisningen har høj kvalitet.</w:t>
            </w:r>
          </w:p>
          <w:p w:rsidR="004E0FB7" w:rsidRPr="004E0FB7" w:rsidRDefault="004E0FB7" w:rsidP="00C96DE8">
            <w:pPr>
              <w:rPr>
                <w:sz w:val="20"/>
                <w:szCs w:val="20"/>
                <w:lang w:val="en-US"/>
              </w:rPr>
            </w:pPr>
            <w:r w:rsidRPr="004E0FB7">
              <w:rPr>
                <w:sz w:val="20"/>
                <w:szCs w:val="20"/>
                <w:lang w:val="en-US"/>
              </w:rPr>
              <w:t xml:space="preserve">Professor John Hattie </w:t>
            </w:r>
            <w:proofErr w:type="spellStart"/>
            <w:r w:rsidRPr="004E0FB7">
              <w:rPr>
                <w:sz w:val="20"/>
                <w:szCs w:val="20"/>
                <w:lang w:val="en-US"/>
              </w:rPr>
              <w:t>i</w:t>
            </w:r>
            <w:proofErr w:type="spellEnd"/>
            <w:r w:rsidRPr="004E0FB7">
              <w:rPr>
                <w:sz w:val="20"/>
                <w:szCs w:val="20"/>
                <w:lang w:val="en-US"/>
              </w:rPr>
              <w:t xml:space="preserve"> </w:t>
            </w:r>
            <w:r w:rsidRPr="004E0FB7">
              <w:rPr>
                <w:i/>
                <w:sz w:val="20"/>
                <w:szCs w:val="20"/>
                <w:lang w:val="en-GB"/>
              </w:rPr>
              <w:t>Visible Learning</w:t>
            </w:r>
            <w:r w:rsidR="00C96DE8">
              <w:rPr>
                <w:i/>
                <w:sz w:val="20"/>
                <w:szCs w:val="20"/>
                <w:lang w:val="en-GB"/>
              </w:rPr>
              <w:t>.</w:t>
            </w:r>
            <w:r w:rsidRPr="004E0FB7">
              <w:rPr>
                <w:sz w:val="20"/>
                <w:szCs w:val="20"/>
                <w:lang w:val="en-US"/>
              </w:rPr>
              <w:t xml:space="preserve"> </w:t>
            </w:r>
          </w:p>
        </w:tc>
        <w:tc>
          <w:tcPr>
            <w:tcW w:w="539" w:type="dxa"/>
            <w:shd w:val="clear" w:color="auto" w:fill="auto"/>
          </w:tcPr>
          <w:p w:rsidR="00505057" w:rsidRPr="004E0FB7" w:rsidRDefault="00505057" w:rsidP="00C96DE8">
            <w:pPr>
              <w:rPr>
                <w:sz w:val="16"/>
                <w:szCs w:val="16"/>
                <w:lang w:val="en-US"/>
              </w:rPr>
            </w:pPr>
          </w:p>
        </w:tc>
        <w:tc>
          <w:tcPr>
            <w:tcW w:w="2260" w:type="dxa"/>
            <w:shd w:val="clear" w:color="auto" w:fill="auto"/>
          </w:tcPr>
          <w:p w:rsidR="00C96DE8" w:rsidRPr="00C96DE8" w:rsidRDefault="00C96DE8" w:rsidP="00C96DE8">
            <w:bookmarkStart w:id="1" w:name="dok_opretdato"/>
            <w:bookmarkEnd w:id="1"/>
            <w:r w:rsidRPr="00C96DE8">
              <w:t xml:space="preserve">December 2012 </w:t>
            </w:r>
          </w:p>
          <w:p w:rsidR="0002685C" w:rsidRPr="00C96DE8" w:rsidRDefault="0002685C" w:rsidP="0002685C">
            <w:pPr>
              <w:rPr>
                <w:lang w:val="en-US"/>
              </w:rPr>
            </w:pPr>
          </w:p>
          <w:p w:rsidR="00505057" w:rsidRPr="00C96DE8" w:rsidRDefault="00505057" w:rsidP="00846A86">
            <w:pPr>
              <w:rPr>
                <w:lang w:val="en-US"/>
              </w:rPr>
            </w:pPr>
          </w:p>
          <w:p w:rsidR="006572A4" w:rsidRPr="00C96DE8" w:rsidRDefault="006572A4" w:rsidP="00846A86">
            <w:pPr>
              <w:rPr>
                <w:lang w:val="en-US"/>
              </w:rPr>
            </w:pPr>
            <w:bookmarkStart w:id="2" w:name="sagsnr"/>
            <w:bookmarkEnd w:id="2"/>
          </w:p>
        </w:tc>
      </w:tr>
    </w:tbl>
    <w:p w:rsidR="0002685C" w:rsidRPr="00C96DE8" w:rsidRDefault="0002685C" w:rsidP="0002685C">
      <w:pPr>
        <w:rPr>
          <w:lang w:val="en-US"/>
        </w:rPr>
      </w:pPr>
    </w:p>
    <w:p w:rsidR="004E0FB7" w:rsidRPr="00C96DE8" w:rsidRDefault="004E0FB7" w:rsidP="0002685C">
      <w:pPr>
        <w:rPr>
          <w:lang w:val="en-US"/>
        </w:rPr>
      </w:pPr>
    </w:p>
    <w:p w:rsidR="00CE7229" w:rsidRPr="00C96DE8" w:rsidRDefault="00CE7229" w:rsidP="004E0FB7">
      <w:pPr>
        <w:rPr>
          <w:lang w:val="en-US"/>
        </w:rPr>
      </w:pPr>
    </w:p>
    <w:p w:rsidR="00DF642E" w:rsidRDefault="004E0FB7" w:rsidP="004E0FB7">
      <w:r w:rsidRPr="004E0FB7">
        <w:t xml:space="preserve">Med udspillet </w:t>
      </w:r>
      <w:r w:rsidRPr="004E0FB7">
        <w:rPr>
          <w:i/>
        </w:rPr>
        <w:t>Gør en god skole bedre – fagligt løft af folkeskolen</w:t>
      </w:r>
      <w:r w:rsidRPr="004E0FB7">
        <w:t xml:space="preserve"> har regeringen sat fokus på </w:t>
      </w:r>
      <w:r w:rsidR="00DF642E">
        <w:t>to væsentlige elementer:</w:t>
      </w:r>
    </w:p>
    <w:p w:rsidR="00DF642E" w:rsidRPr="004E0FB7" w:rsidRDefault="00DF642E" w:rsidP="00DF642E">
      <w:pPr>
        <w:numPr>
          <w:ilvl w:val="0"/>
          <w:numId w:val="10"/>
        </w:numPr>
      </w:pPr>
      <w:r w:rsidRPr="004E0FB7">
        <w:t>En sammenhængende aktiv skoledag med flere og bedre timer til u</w:t>
      </w:r>
      <w:r w:rsidRPr="004E0FB7">
        <w:t>n</w:t>
      </w:r>
      <w:r w:rsidRPr="004E0FB7">
        <w:t>dervisning og aktiviteter</w:t>
      </w:r>
    </w:p>
    <w:p w:rsidR="00DF642E" w:rsidRPr="004E0FB7" w:rsidRDefault="00DF642E" w:rsidP="00DF642E">
      <w:pPr>
        <w:numPr>
          <w:ilvl w:val="0"/>
          <w:numId w:val="10"/>
        </w:numPr>
      </w:pPr>
      <w:r w:rsidRPr="004E0FB7">
        <w:t>Styrket efteruddannelse og anvendelse af viden om god undervisning</w:t>
      </w:r>
    </w:p>
    <w:p w:rsidR="00DF642E" w:rsidRDefault="00DF642E" w:rsidP="004E0FB7"/>
    <w:p w:rsidR="00AD09D5" w:rsidRDefault="00DF642E" w:rsidP="004E0FB7">
      <w:r>
        <w:t xml:space="preserve">Danmarks Lærerforening anerkender behovet for </w:t>
      </w:r>
      <w:r w:rsidR="00AD09D5">
        <w:t xml:space="preserve">både </w:t>
      </w:r>
      <w:r>
        <w:t>en mere sammenhæ</w:t>
      </w:r>
      <w:r>
        <w:t>n</w:t>
      </w:r>
      <w:r>
        <w:t xml:space="preserve">gende </w:t>
      </w:r>
      <w:r w:rsidR="00AD09D5">
        <w:t>skoledag og en styrket efteruddannelsesindsats. I dette oplæg vil foreni</w:t>
      </w:r>
      <w:r w:rsidR="00AD09D5">
        <w:t>n</w:t>
      </w:r>
      <w:r w:rsidR="00AD09D5">
        <w:t xml:space="preserve">gen derfor konkretisere, hvordan dette kan imødekommes samtidig med, at skolerne får en bedre mulighed for </w:t>
      </w:r>
      <w:r w:rsidR="00BA4F06">
        <w:t xml:space="preserve">at </w:t>
      </w:r>
      <w:r w:rsidR="00AD09D5">
        <w:t>løse den påtrængende inklusionsopgave.</w:t>
      </w:r>
    </w:p>
    <w:p w:rsidR="00AD09D5" w:rsidRDefault="00AD09D5" w:rsidP="004D1858">
      <w:pPr>
        <w:pStyle w:val="Overskrift2"/>
      </w:pPr>
      <w:r>
        <w:t>Sammenhæng i undervisningen</w:t>
      </w:r>
    </w:p>
    <w:p w:rsidR="004D1858" w:rsidRDefault="004D1858" w:rsidP="004E0FB7">
      <w:r>
        <w:t xml:space="preserve">Danmarks Lærerforening </w:t>
      </w:r>
      <w:r w:rsidR="004250B1">
        <w:t>bakker helt op om regeringens ønske om en mere sammenhængende skole- og undervisningsdag for eleverne med mulighed for fordybelse og mulighed for at inddrage praktiske elementer i undervisningen. Derfor foreslår Danmarks Lærerforening</w:t>
      </w:r>
      <w:r>
        <w:t>, at der gøres op med en traditionel lektionsopdelt skole, hvor eleverne</w:t>
      </w:r>
      <w:r w:rsidR="004250B1">
        <w:t>s undervisning</w:t>
      </w:r>
      <w:r>
        <w:t xml:space="preserve"> konstant </w:t>
      </w:r>
      <w:r w:rsidR="004250B1">
        <w:t>brydes op</w:t>
      </w:r>
      <w:r w:rsidR="00F54A37">
        <w:t xml:space="preserve"> af</w:t>
      </w:r>
      <w:r>
        <w:t xml:space="preserve"> fr</w:t>
      </w:r>
      <w:r>
        <w:t>i</w:t>
      </w:r>
      <w:r>
        <w:t>kvarterer og skiftet mellem de nye aktivitetstimer og undervisning</w:t>
      </w:r>
      <w:r w:rsidR="00F54A37">
        <w:t>en</w:t>
      </w:r>
      <w:r>
        <w:t xml:space="preserve">. </w:t>
      </w:r>
    </w:p>
    <w:p w:rsidR="004D1858" w:rsidRDefault="004D1858" w:rsidP="004D1858"/>
    <w:p w:rsidR="004D1858" w:rsidRPr="004D1858" w:rsidRDefault="004D1858" w:rsidP="004D1858">
      <w:r w:rsidRPr="004D1858">
        <w:t>Danmarks Lærerforening</w:t>
      </w:r>
      <w:r>
        <w:t xml:space="preserve"> foreslår</w:t>
      </w:r>
      <w:r w:rsidRPr="004D1858">
        <w:t xml:space="preserve">, at undervisningens organisering for alvor nytænkes, så der skabes reel mulighed for fordybelse kombineret med praktiske aktiviteter. Elevernes undervisning organiseres i et sammenhængende forløb uden den traditionelle lektionsopdeling og faste frikvarterer. </w:t>
      </w:r>
    </w:p>
    <w:p w:rsidR="004D1858" w:rsidRPr="004D1858" w:rsidRDefault="004D1858" w:rsidP="004D1858"/>
    <w:p w:rsidR="004D1858" w:rsidRPr="004D1858" w:rsidRDefault="004D1858" w:rsidP="004D1858">
      <w:r w:rsidRPr="004D1858">
        <w:t xml:space="preserve">Som udgangspunkt </w:t>
      </w:r>
      <w:r>
        <w:t xml:space="preserve">skal </w:t>
      </w:r>
      <w:r w:rsidRPr="004D1858">
        <w:t>skoledagen</w:t>
      </w:r>
      <w:r>
        <w:t xml:space="preserve"> efter foreningens opfattelse</w:t>
      </w:r>
      <w:r w:rsidRPr="004D1858">
        <w:t xml:space="preserve"> kun </w:t>
      </w:r>
      <w:r>
        <w:t xml:space="preserve">blive </w:t>
      </w:r>
      <w:r w:rsidRPr="004D1858">
        <w:t>a</w:t>
      </w:r>
      <w:r w:rsidRPr="004D1858">
        <w:t>f</w:t>
      </w:r>
      <w:r w:rsidRPr="004D1858">
        <w:t xml:space="preserve">brudt af en spisepause midt på dage, men den enkelte skole kan vælge at lægge en aktivitetstime ind af fx ½-1 times varighed midt på dagen. Den enkelte skole fastlægger i øvrigt sine aktivitetstimer fleksibelt i relation til undervisningen, så </w:t>
      </w:r>
      <w:r w:rsidRPr="004D1858">
        <w:lastRenderedPageBreak/>
        <w:t>aktiviteterne målrettet understøtter elevernes indlæring.</w:t>
      </w:r>
      <w:r w:rsidR="00F10532">
        <w:t xml:space="preserve"> </w:t>
      </w:r>
      <w:r w:rsidRPr="004D1858">
        <w:t xml:space="preserve">Aktivitetstimerne vil således bl.a., jf. regeringens reformudspil, kunne benyttes til </w:t>
      </w:r>
      <w:proofErr w:type="spellStart"/>
      <w:r w:rsidRPr="004D1858">
        <w:t>to-lærer-ordninger</w:t>
      </w:r>
      <w:proofErr w:type="spellEnd"/>
      <w:r w:rsidRPr="004D1858">
        <w:t xml:space="preserve"> ved, at lærerne deltager i hinandens undervisning og dermed styrke inklusionen.</w:t>
      </w:r>
    </w:p>
    <w:p w:rsidR="004D1858" w:rsidRDefault="004D1858" w:rsidP="004E0FB7"/>
    <w:p w:rsidR="004E0FB7" w:rsidRPr="004E0FB7" w:rsidRDefault="00F10532" w:rsidP="004E0FB7">
      <w:r>
        <w:t xml:space="preserve">Forslaget skal imødekomme </w:t>
      </w:r>
      <w:r w:rsidR="004D1858">
        <w:t>regeringen</w:t>
      </w:r>
      <w:r>
        <w:t>s ønske om en</w:t>
      </w:r>
      <w:r w:rsidR="004E0FB7" w:rsidRPr="004E0FB7">
        <w:t xml:space="preserve"> mere glidende overgange og sammenhænge i elevernes skoledag</w:t>
      </w:r>
      <w:r w:rsidR="004D1858">
        <w:t>, hvor</w:t>
      </w:r>
      <w:r w:rsidR="004E0FB7" w:rsidRPr="004E0FB7">
        <w:t xml:space="preserve"> lærerne med faglig kunnen og engagement er omdrejningspunktet for at skabe denne sammenhæng. </w:t>
      </w:r>
    </w:p>
    <w:p w:rsidR="00086E03" w:rsidRDefault="00086E03" w:rsidP="004E0FB7"/>
    <w:p w:rsidR="00F10532" w:rsidRDefault="009A3A52" w:rsidP="004D1858">
      <w:pPr>
        <w:tabs>
          <w:tab w:val="left" w:pos="6804"/>
        </w:tabs>
      </w:pPr>
      <w:r>
        <w:t>Hvis aktivitet</w:t>
      </w:r>
      <w:r w:rsidR="00F10532">
        <w:t xml:space="preserve">stimerne </w:t>
      </w:r>
      <w:r>
        <w:t>skal fremme elevernes udbyttes</w:t>
      </w:r>
      <w:r w:rsidR="00A53698">
        <w:t>,</w:t>
      </w:r>
      <w:r>
        <w:t xml:space="preserve"> skal de tænkes ind og med i undervisningen </w:t>
      </w:r>
      <w:r w:rsidR="00086E03" w:rsidRPr="00086E03">
        <w:t>A</w:t>
      </w:r>
      <w:r>
        <w:t>ktiviteterne skal have</w:t>
      </w:r>
      <w:r w:rsidR="00086E03" w:rsidRPr="00086E03">
        <w:t xml:space="preserve"> fokus på</w:t>
      </w:r>
      <w:r>
        <w:t xml:space="preserve"> elevernes </w:t>
      </w:r>
      <w:r w:rsidR="00086E03" w:rsidRPr="00086E03">
        <w:t>læring</w:t>
      </w:r>
      <w:r>
        <w:t>. Aktiv</w:t>
      </w:r>
      <w:r>
        <w:t>i</w:t>
      </w:r>
      <w:r>
        <w:t>teter, der løsrives fra undervisningen</w:t>
      </w:r>
      <w:r w:rsidR="00A53698">
        <w:t>,</w:t>
      </w:r>
      <w:r>
        <w:t xml:space="preserve"> fremmer ikke nødvendigvis elevernes udbytte. De aktiviteter, der sættes i værk på skolerne</w:t>
      </w:r>
      <w:r w:rsidR="00A53698">
        <w:t>,</w:t>
      </w:r>
      <w:r w:rsidR="00086E03" w:rsidRPr="00086E03">
        <w:t xml:space="preserve"> </w:t>
      </w:r>
      <w:r>
        <w:t>skal</w:t>
      </w:r>
      <w:r w:rsidR="00086E03" w:rsidRPr="00086E03">
        <w:t xml:space="preserve"> først og fremmest </w:t>
      </w:r>
      <w:r>
        <w:t xml:space="preserve">handle </w:t>
      </w:r>
      <w:r w:rsidR="00086E03" w:rsidRPr="00086E03">
        <w:t xml:space="preserve">om at </w:t>
      </w:r>
      <w:r>
        <w:t>nå nogle</w:t>
      </w:r>
      <w:r w:rsidR="00A53698">
        <w:t xml:space="preserve"> relevante </w:t>
      </w:r>
      <w:r>
        <w:t>læringsmål med eleverne. Den professionelle lærer skal omsætte målene og intentionerne t</w:t>
      </w:r>
      <w:r w:rsidR="00086E03" w:rsidRPr="00086E03">
        <w:t>il handling og meningsfulde aktiv</w:t>
      </w:r>
      <w:r w:rsidR="00086E03" w:rsidRPr="00086E03">
        <w:t>i</w:t>
      </w:r>
      <w:r w:rsidR="00086E03" w:rsidRPr="00086E03">
        <w:t>teter.</w:t>
      </w:r>
      <w:r w:rsidR="00DA4230">
        <w:t xml:space="preserve"> </w:t>
      </w:r>
    </w:p>
    <w:p w:rsidR="00F10532" w:rsidRDefault="00F10532" w:rsidP="004D1858">
      <w:pPr>
        <w:tabs>
          <w:tab w:val="left" w:pos="6804"/>
        </w:tabs>
      </w:pPr>
    </w:p>
    <w:p w:rsidR="004D1858" w:rsidRPr="004D1858" w:rsidRDefault="00DA4230" w:rsidP="004D1858">
      <w:pPr>
        <w:tabs>
          <w:tab w:val="left" w:pos="6804"/>
        </w:tabs>
      </w:pPr>
      <w:r>
        <w:t>Undervisningens mål skal være styrende for aktiviteterne og ikke omvendt.</w:t>
      </w:r>
      <w:r w:rsidR="007B16C5">
        <w:t xml:space="preserve"> Ellers er der</w:t>
      </w:r>
      <w:r>
        <w:t xml:space="preserve"> en betydelig risiko for</w:t>
      </w:r>
      <w:r w:rsidR="00837F78">
        <w:t>,</w:t>
      </w:r>
      <w:r>
        <w:t xml:space="preserve"> at</w:t>
      </w:r>
      <w:r w:rsidR="009A3A52">
        <w:t xml:space="preserve"> </w:t>
      </w:r>
      <w:r>
        <w:t>aktiviteternes</w:t>
      </w:r>
      <w:r w:rsidR="009A3A52">
        <w:t xml:space="preserve"> funktionalitet</w:t>
      </w:r>
      <w:r>
        <w:t xml:space="preserve"> vil </w:t>
      </w:r>
      <w:r w:rsidR="009A3A52">
        <w:t xml:space="preserve">dominere </w:t>
      </w:r>
      <w:r w:rsidR="00837F78">
        <w:t>i stedet for</w:t>
      </w:r>
      <w:r w:rsidR="009A3A52">
        <w:t xml:space="preserve"> elevernes læring. </w:t>
      </w:r>
      <w:r>
        <w:t>Det vil således mere komme til at handle om, hvad eleverne laver</w:t>
      </w:r>
      <w:r w:rsidR="00837F78">
        <w:t>,</w:t>
      </w:r>
      <w:r>
        <w:t xml:space="preserve"> end hvad de lærer.</w:t>
      </w:r>
      <w:r w:rsidR="004D1858">
        <w:t xml:space="preserve"> D</w:t>
      </w:r>
      <w:r w:rsidR="004D1858" w:rsidRPr="004D1858">
        <w:t xml:space="preserve">e nye aktivitetstimer </w:t>
      </w:r>
      <w:r w:rsidR="004D1858">
        <w:t xml:space="preserve">vil således </w:t>
      </w:r>
      <w:r w:rsidR="004D1858" w:rsidRPr="004D1858">
        <w:t>blive aktiv</w:t>
      </w:r>
      <w:r w:rsidR="004D1858" w:rsidRPr="004D1858">
        <w:t>i</w:t>
      </w:r>
      <w:r w:rsidR="004D1858" w:rsidRPr="004D1858">
        <w:t xml:space="preserve">teter for aktiviteternes skyld. </w:t>
      </w:r>
    </w:p>
    <w:p w:rsidR="00DA4230" w:rsidRDefault="00DA4230" w:rsidP="009A3A52"/>
    <w:p w:rsidR="00DF642E" w:rsidRDefault="00DF642E" w:rsidP="004E0FB7">
      <w:r>
        <w:t>Skal hensigten med regeringens oplæg opfyldes, kræver det</w:t>
      </w:r>
      <w:r w:rsidR="00837F78">
        <w:t>,</w:t>
      </w:r>
      <w:r>
        <w:t xml:space="preserve"> at </w:t>
      </w:r>
      <w:proofErr w:type="spellStart"/>
      <w:r>
        <w:t>relationsarbejde</w:t>
      </w:r>
      <w:proofErr w:type="spellEnd"/>
      <w:r>
        <w:t>, alsidig udvikling og fysisk udfoldelse bringes ind i en sammenhængende unde</w:t>
      </w:r>
      <w:r>
        <w:t>r</w:t>
      </w:r>
      <w:r>
        <w:t>visning – og ikke er påklistrede sideaktiviteter.</w:t>
      </w:r>
    </w:p>
    <w:p w:rsidR="00DF642E" w:rsidRDefault="00DF642E" w:rsidP="004E0FB7"/>
    <w:p w:rsidR="004E0FB7" w:rsidRDefault="00DF642E" w:rsidP="00FD4436">
      <w:r>
        <w:t xml:space="preserve">Dansk </w:t>
      </w:r>
      <w:r w:rsidR="00AD09D5">
        <w:t xml:space="preserve">Clearinghouse for Uddannelsesforskning </w:t>
      </w:r>
      <w:r w:rsidR="00FD4436">
        <w:t xml:space="preserve">beskriver i sit store </w:t>
      </w:r>
      <w:proofErr w:type="spellStart"/>
      <w:r w:rsidR="00FD4436">
        <w:t>review</w:t>
      </w:r>
      <w:proofErr w:type="spellEnd"/>
      <w:r w:rsidR="00FD4436">
        <w:t xml:space="preserve"> om, hvad der gør </w:t>
      </w:r>
      <w:r w:rsidR="007B16C5">
        <w:t xml:space="preserve">”Den gode </w:t>
      </w:r>
      <w:r w:rsidR="00FD4436">
        <w:t>skole</w:t>
      </w:r>
      <w:r w:rsidR="004D1858">
        <w:t>”</w:t>
      </w:r>
      <w:r w:rsidR="00FD4436">
        <w:t xml:space="preserve"> betydningen af at skabe en skolekultur, hvor der er høje forventning</w:t>
      </w:r>
      <w:r w:rsidR="00DC42C1">
        <w:t>er</w:t>
      </w:r>
      <w:r w:rsidR="00FD4436">
        <w:t>, højt engagement og eleverne er bevidste om målet for undervisningen</w:t>
      </w:r>
      <w:r w:rsidR="00EB5B2F">
        <w:t>.</w:t>
      </w:r>
      <w:r w:rsidR="00FD4436">
        <w:rPr>
          <w:rStyle w:val="Fodnotehenvisning"/>
        </w:rPr>
        <w:footnoteReference w:id="2"/>
      </w:r>
      <w:r w:rsidR="00FD4436">
        <w:t xml:space="preserve"> </w:t>
      </w:r>
    </w:p>
    <w:p w:rsidR="00FD4436" w:rsidRDefault="00FD4436" w:rsidP="00FD4436"/>
    <w:p w:rsidR="00FD4436" w:rsidRPr="004E0FB7" w:rsidRDefault="00EB5B2F" w:rsidP="00FD4436">
      <w:r w:rsidRPr="00EB5B2F">
        <w:t>Kontakt og interaktion mellem lærere og elever er den allervigtigste faktor for vellykket undervisning, målt på elevernes præstationer.</w:t>
      </w:r>
      <w:r>
        <w:rPr>
          <w:rStyle w:val="Fodnotehenvisning"/>
        </w:rPr>
        <w:footnoteReference w:id="3"/>
      </w:r>
    </w:p>
    <w:p w:rsidR="00C96DE8" w:rsidRDefault="00C96DE8" w:rsidP="007004F7">
      <w:pPr>
        <w:pStyle w:val="Overskrift2"/>
        <w:rPr>
          <w:rStyle w:val="Strk"/>
        </w:rPr>
      </w:pPr>
      <w:r w:rsidRPr="007004F7">
        <w:rPr>
          <w:rStyle w:val="Strk"/>
          <w:b/>
          <w:bCs/>
        </w:rPr>
        <w:t>Inklusion</w:t>
      </w:r>
    </w:p>
    <w:p w:rsidR="00F10532" w:rsidRPr="00F10532" w:rsidRDefault="00F10532" w:rsidP="00F10532">
      <w:r w:rsidRPr="00F10532">
        <w:t>D</w:t>
      </w:r>
      <w:r>
        <w:t>anmarks Lærerforening finder, at de</w:t>
      </w:r>
      <w:r w:rsidRPr="00F10532">
        <w:t>r bør stilles klare krav til, hvordan kval</w:t>
      </w:r>
      <w:r w:rsidRPr="00F10532">
        <w:t>i</w:t>
      </w:r>
      <w:r w:rsidRPr="00F10532">
        <w:t xml:space="preserve">teten i inklusionsopgaven </w:t>
      </w:r>
      <w:r>
        <w:t>løses i den enkelte kommune og på den enkelte sk</w:t>
      </w:r>
      <w:r>
        <w:t>o</w:t>
      </w:r>
      <w:r>
        <w:t xml:space="preserve">le. Herunder </w:t>
      </w:r>
      <w:r w:rsidRPr="00F10532">
        <w:t>hvilken ekspertise, som den enkelte skole skal have fleksibelt a</w:t>
      </w:r>
      <w:r w:rsidRPr="00F10532">
        <w:t>d</w:t>
      </w:r>
      <w:r w:rsidRPr="00F10532">
        <w:t>gang til i form af et støttecenter med bl.a. læsevejleder, specialundervisningse</w:t>
      </w:r>
      <w:r w:rsidRPr="00F10532">
        <w:t>k</w:t>
      </w:r>
      <w:r w:rsidRPr="00F10532">
        <w:t>spertise og AKT-vejledning.</w:t>
      </w:r>
    </w:p>
    <w:p w:rsidR="00F10532" w:rsidRPr="00F10532" w:rsidRDefault="00F10532" w:rsidP="00F10532"/>
    <w:p w:rsidR="00F10532" w:rsidRPr="00F10532" w:rsidRDefault="00F10532" w:rsidP="00F10532">
      <w:r w:rsidRPr="00F10532">
        <w:t>Skal inklusionsopgaven lykkes på den enkelte skole, kræver det tydelige polit</w:t>
      </w:r>
      <w:r w:rsidRPr="00F10532">
        <w:t>i</w:t>
      </w:r>
      <w:r w:rsidRPr="00F10532">
        <w:t>ske prioriteringer af at sikre det. Det handler både om mulighed for supervision og støtte i klasselokalet, og om at den enkelte elev har adgang til kortere og længere intensive undervisningsforløb, der er tilpasset elevens behov.</w:t>
      </w:r>
    </w:p>
    <w:p w:rsidR="00F10532" w:rsidRDefault="00F10532" w:rsidP="00F10532"/>
    <w:p w:rsidR="00F10532" w:rsidRPr="00F10532" w:rsidRDefault="00F10532" w:rsidP="00F10532">
      <w:r w:rsidRPr="00F10532">
        <w:t>Der skal være tilgængelige resurser, som sikrer, at der kan gives støtte ud fra den enkelte elevs behov – fx ekstra lærerkræfter, specialpædagogisk resursece</w:t>
      </w:r>
      <w:r w:rsidRPr="00F10532">
        <w:t>n</w:t>
      </w:r>
      <w:r w:rsidRPr="00F10532">
        <w:t>ter og tværfaglige samarbejder på såvel undervisnings-, sundheds- og socialo</w:t>
      </w:r>
      <w:r w:rsidRPr="00F10532">
        <w:t>m</w:t>
      </w:r>
      <w:r w:rsidRPr="00F10532">
        <w:t>rådet.</w:t>
      </w:r>
    </w:p>
    <w:p w:rsidR="00F10532" w:rsidRDefault="00F10532" w:rsidP="00F10532"/>
    <w:p w:rsidR="00F10532" w:rsidRDefault="00F10532" w:rsidP="00F10532">
      <w:r>
        <w:t>Som regeringen påpeger, så er det en grundværdi for folkeskolen, at den skal være indrettet, så der er plads til alle børn i fællesskabet.</w:t>
      </w:r>
    </w:p>
    <w:p w:rsidR="00F10532" w:rsidRDefault="00F10532" w:rsidP="00F10532"/>
    <w:p w:rsidR="00F10532" w:rsidRPr="00F10532" w:rsidRDefault="00F10532" w:rsidP="00F10532">
      <w:r w:rsidRPr="00F10532">
        <w:t>Danmarks Lærerforening stiller hele sin organisation til rådighed for en fælle</w:t>
      </w:r>
      <w:r w:rsidRPr="00F10532">
        <w:t>s</w:t>
      </w:r>
      <w:r w:rsidRPr="00F10532">
        <w:t>indsats med regering og kommuner om:</w:t>
      </w:r>
    </w:p>
    <w:p w:rsidR="00F10532" w:rsidRPr="00F10532" w:rsidRDefault="00F10532" w:rsidP="00F10532">
      <w:pPr>
        <w:numPr>
          <w:ilvl w:val="0"/>
          <w:numId w:val="12"/>
        </w:numPr>
      </w:pPr>
      <w:r w:rsidRPr="00F10532">
        <w:t>At skabe engagement, viden og samarbejde om den nødvendige he</w:t>
      </w:r>
      <w:r w:rsidRPr="00F10532">
        <w:t>l</w:t>
      </w:r>
      <w:r w:rsidRPr="00F10532">
        <w:t xml:space="preserve">hedsindsats på såvel national-, kommunalt – og skoleniveau for en øget inklusion   </w:t>
      </w:r>
    </w:p>
    <w:p w:rsidR="00F10532" w:rsidRPr="00F10532" w:rsidRDefault="00F10532" w:rsidP="00F10532">
      <w:pPr>
        <w:numPr>
          <w:ilvl w:val="0"/>
          <w:numId w:val="12"/>
        </w:numPr>
      </w:pPr>
      <w:r w:rsidRPr="00F10532">
        <w:t>At kommunerne og skolerne i samarbejde med lærere og ledere får l</w:t>
      </w:r>
      <w:r w:rsidRPr="00F10532">
        <w:t>a</w:t>
      </w:r>
      <w:r w:rsidRPr="00F10532">
        <w:t>vet strategi og handleplaner for inklusionsprocessen på baggrund af forskningsbaseret viden, så man lokalt kan trække på den nødvendige faglige ekspertise</w:t>
      </w:r>
    </w:p>
    <w:p w:rsidR="00F10532" w:rsidRPr="00F10532" w:rsidRDefault="00F10532" w:rsidP="00F10532">
      <w:pPr>
        <w:numPr>
          <w:ilvl w:val="0"/>
          <w:numId w:val="12"/>
        </w:numPr>
      </w:pPr>
      <w:r w:rsidRPr="00F10532">
        <w:t>At danne grundlag for en national opsamling og formidling af viden om initiativer i forhold til inklusion - og hermed bl.a. sikre relevante e</w:t>
      </w:r>
      <w:r w:rsidRPr="00F10532">
        <w:t>f</w:t>
      </w:r>
      <w:r w:rsidRPr="00F10532">
        <w:t>ter- og videreuddannelsestilbud</w:t>
      </w:r>
    </w:p>
    <w:p w:rsidR="00F10532" w:rsidRPr="00F10532" w:rsidRDefault="00F10532" w:rsidP="00F10532"/>
    <w:p w:rsidR="00F10532" w:rsidRPr="00F10532" w:rsidRDefault="00F10532" w:rsidP="00F10532">
      <w:r w:rsidRPr="00F10532">
        <w:t>Projektet skal være en katalysator for en national indsats i alle kommuner på alle skoler, for et samarbejde om mål, strategier og handlinger med henblik på at flere elever med særlige behov kan forblive inden for almenundervisningens rammer.</w:t>
      </w:r>
    </w:p>
    <w:p w:rsidR="00F10532" w:rsidRDefault="00F10532" w:rsidP="00CB7137"/>
    <w:p w:rsidR="00CB7137" w:rsidRPr="00CB7137" w:rsidRDefault="00CB7137" w:rsidP="00CB7137">
      <w:r w:rsidRPr="00CB7137">
        <w:t>Børn</w:t>
      </w:r>
      <w:r w:rsidR="00BA4F06">
        <w:t>,</w:t>
      </w:r>
      <w:r w:rsidRPr="00CB7137">
        <w:t xml:space="preserve"> der mistrives</w:t>
      </w:r>
      <w:r w:rsidR="00BA4F06">
        <w:t>,</w:t>
      </w:r>
      <w:r w:rsidRPr="00CB7137">
        <w:t xml:space="preserve"> lærer dårligt. Undersøgelser </w:t>
      </w:r>
      <w:r w:rsidR="00BA4F06">
        <w:t>har</w:t>
      </w:r>
      <w:r w:rsidRPr="00CB7137">
        <w:t xml:space="preserve"> gang på gang</w:t>
      </w:r>
      <w:r w:rsidR="00BA4F06">
        <w:t xml:space="preserve"> vist</w:t>
      </w:r>
      <w:r w:rsidRPr="00CB7137">
        <w:t>, at børn, der er udfordret socialt, intellektuelt eller følelsesmæssigt, har svært ved at klare sig i skolen. Fx viser en svensk undersøgelse</w:t>
      </w:r>
      <w:r w:rsidR="00BA4F06">
        <w:t>,</w:t>
      </w:r>
      <w:r w:rsidRPr="00CB7137">
        <w:t xml:space="preserve"> at anbragte børn klarer sig ma</w:t>
      </w:r>
      <w:r w:rsidRPr="00CB7137">
        <w:t>r</w:t>
      </w:r>
      <w:r w:rsidRPr="00CB7137">
        <w:t>kant dårligere end andre. Disse undersøgelser viser samtidig, at det som bedst hjælper denne gruppe er at opnå gode resultater i skolen.</w:t>
      </w:r>
      <w:r w:rsidRPr="00CB7137">
        <w:rPr>
          <w:vertAlign w:val="superscript"/>
        </w:rPr>
        <w:footnoteReference w:id="4"/>
      </w:r>
    </w:p>
    <w:p w:rsidR="00CB7137" w:rsidRPr="00CB7137" w:rsidRDefault="00CB7137" w:rsidP="00CB7137"/>
    <w:p w:rsidR="00CB7137" w:rsidRPr="00CB7137" w:rsidRDefault="00CB7137" w:rsidP="00CB7137">
      <w:r w:rsidRPr="00CB7137">
        <w:t>Der er brug for en særlig indsats for at fastholde alle børns mulighed for at deltage i folkeskolens fællesskab og sikre alle udbytte af og deltagelse i unde</w:t>
      </w:r>
      <w:r w:rsidRPr="00CB7137">
        <w:t>r</w:t>
      </w:r>
      <w:r w:rsidRPr="00CB7137">
        <w:t>visningen – såvel fagligt som socialt.</w:t>
      </w:r>
    </w:p>
    <w:p w:rsidR="00CB7137" w:rsidRPr="00CB7137" w:rsidRDefault="00CB7137" w:rsidP="00CB7137"/>
    <w:p w:rsidR="00CB7137" w:rsidRPr="00CB7137" w:rsidRDefault="00CB7137" w:rsidP="00CB7137">
      <w:r w:rsidRPr="00CB7137">
        <w:t>Målet med en vellykket inklusion i skolen er et højere fagligt udbytte for alle elever. Forældre og de ca. 49. 000 elever, der efter den seneste lovændring på området nu ikke længere er ”specialelever”, har krav på tryghed og sikkerhed for, at de får den nødvendige støtte, så deres undervisning bliver kvalificeret. Og resten af eleverne i folkeskolen og deres forældre har krav på, at den øgede inklusion ikke sker på bekostning af kvaliteten af undervisningen i normalkla</w:t>
      </w:r>
      <w:r w:rsidRPr="00CB7137">
        <w:t>s</w:t>
      </w:r>
      <w:r w:rsidRPr="00CB7137">
        <w:t>sen.</w:t>
      </w:r>
    </w:p>
    <w:p w:rsidR="00CB7137" w:rsidRPr="00CB7137" w:rsidRDefault="00CB7137" w:rsidP="00CB7137"/>
    <w:p w:rsidR="00CB7137" w:rsidRPr="00CB7137" w:rsidRDefault="00CB7137" w:rsidP="00CB7137">
      <w:r w:rsidRPr="00CB7137">
        <w:lastRenderedPageBreak/>
        <w:t>Det kræver, at kommuner og skoler tydeligt klarlægger, hvordan de resurser, der hidtil har været brugt på specialundervisning, nu kommer de inkluderede elever og deres klassekammerater til gavn.</w:t>
      </w:r>
    </w:p>
    <w:p w:rsidR="004F396E" w:rsidRDefault="004F396E" w:rsidP="007004F7">
      <w:pPr>
        <w:pStyle w:val="Overskrift2"/>
      </w:pPr>
      <w:r>
        <w:t xml:space="preserve">Helhed eller </w:t>
      </w:r>
      <w:proofErr w:type="spellStart"/>
      <w:r>
        <w:t>heldag</w:t>
      </w:r>
      <w:proofErr w:type="spellEnd"/>
    </w:p>
    <w:p w:rsidR="00844DF1" w:rsidRDefault="00844DF1" w:rsidP="00844DF1">
      <w:r>
        <w:t xml:space="preserve">Danmarks Lærerforening foreslår, at man gentænker, hvordan skolen kan stå til rådighed for eleverne hele dagen. Det er ikke nødvendigvis alle skoler, der med fordel skal indrette sig som heldagsskoler, men skolen bør være et åbent lokalt kulturcenter. </w:t>
      </w:r>
    </w:p>
    <w:p w:rsidR="00844DF1" w:rsidRDefault="00844DF1" w:rsidP="00844DF1"/>
    <w:p w:rsidR="00844DF1" w:rsidRDefault="00844DF1" w:rsidP="00844DF1">
      <w:r>
        <w:t>Det er en god ide, at regeringen sætter fokus på</w:t>
      </w:r>
      <w:r w:rsidR="007F7CEB">
        <w:t xml:space="preserve"> flere</w:t>
      </w:r>
      <w:r>
        <w:t xml:space="preserve"> valgfag</w:t>
      </w:r>
      <w:r w:rsidR="007F7CEB">
        <w:t>, men også andre tilbud kan styrke skolen, så den ikke er et sted, hvor eleverne føler, at de skal være hele dagen, men et sted, hvor eleverne ser et formål i at være aktive</w:t>
      </w:r>
      <w:r>
        <w:t>. Fo</w:t>
      </w:r>
      <w:r>
        <w:t>r</w:t>
      </w:r>
      <w:r>
        <w:t>eningen foreslår, at man lokalt finder en indretning, så skolen er åben for frivi</w:t>
      </w:r>
      <w:r>
        <w:t>l</w:t>
      </w:r>
      <w:r>
        <w:t xml:space="preserve">lige organisationer, idrætsforeninger mv. </w:t>
      </w:r>
    </w:p>
    <w:p w:rsidR="00844DF1" w:rsidRDefault="00844DF1" w:rsidP="00844DF1"/>
    <w:p w:rsidR="00844DF1" w:rsidRDefault="00CE7229" w:rsidP="004F396E">
      <w:r>
        <w:t>Der er skoler, der bl.a. på baggrund af deres elevsammensætning har stort u</w:t>
      </w:r>
      <w:r>
        <w:t>d</w:t>
      </w:r>
      <w:r>
        <w:t>bytte af at indrette skolen som en heldagsskole. Erfaringerne fra forsøgene på området viser imidlertid ikke, at den skoleform i sig selv fremmer elevernes indlæring</w:t>
      </w:r>
      <w:r>
        <w:rPr>
          <w:rStyle w:val="Fodnotehenvisning"/>
        </w:rPr>
        <w:footnoteReference w:id="5"/>
      </w:r>
      <w:r>
        <w:t xml:space="preserve">. Det </w:t>
      </w:r>
      <w:r w:rsidR="00844DF1">
        <w:t>bør derfor skabes mere fokus på at skabe helhed i skolen end at sikre en bestemt heldagsform.</w:t>
      </w:r>
    </w:p>
    <w:p w:rsidR="00CE7229" w:rsidRDefault="00844DF1" w:rsidP="004F396E">
      <w:r>
        <w:t xml:space="preserve"> </w:t>
      </w:r>
    </w:p>
    <w:p w:rsidR="00871290" w:rsidRDefault="007004F7" w:rsidP="004F396E">
      <w:r>
        <w:t xml:space="preserve">Foreningen deler regeringens ønske om at sikre muligheden </w:t>
      </w:r>
      <w:r w:rsidR="00CE7229">
        <w:t>for to voksne i klassen</w:t>
      </w:r>
      <w:r w:rsidR="00871290">
        <w:t>. Efter regeringens opfattelse kan det ske ved at veksle aktivitetstimer til støtte i undervisningen. Erfaringerne med heldagsskoler viser, at denne skol</w:t>
      </w:r>
      <w:r w:rsidR="00871290">
        <w:t>e</w:t>
      </w:r>
      <w:r w:rsidR="00871290">
        <w:t xml:space="preserve">typer gør mest gavn på skoler, der har en elevsammensætning, hvor der også er behov for ekstra støtte i undervisningen. </w:t>
      </w:r>
    </w:p>
    <w:p w:rsidR="00871290" w:rsidRDefault="00871290" w:rsidP="004F396E"/>
    <w:p w:rsidR="00CE7229" w:rsidRDefault="007004F7" w:rsidP="004F396E">
      <w:r>
        <w:t xml:space="preserve">Skal der skabes </w:t>
      </w:r>
      <w:r w:rsidR="00871290">
        <w:t xml:space="preserve">social ansvarlighed må </w:t>
      </w:r>
      <w:r>
        <w:t xml:space="preserve">det </w:t>
      </w:r>
      <w:r w:rsidR="00871290">
        <w:t>sikres, at de skoler, hvor eleverne reelt har behov for en længere skoledag</w:t>
      </w:r>
      <w:r w:rsidR="00E26872">
        <w:t>,</w:t>
      </w:r>
      <w:r w:rsidR="00871290">
        <w:t xml:space="preserve"> for at understøtte skolens arbejde med at bryde den negative sociale uddannelsesarv, ikke fratages muligheden for at give eleverne den nødvendige ekstra støtte i undervisningen i form af muligh</w:t>
      </w:r>
      <w:r w:rsidR="00871290">
        <w:t>e</w:t>
      </w:r>
      <w:r w:rsidR="00871290">
        <w:t>den for to voksne i klassen.</w:t>
      </w:r>
    </w:p>
    <w:p w:rsidR="00DA4230" w:rsidRDefault="00DA4230" w:rsidP="007004F7">
      <w:pPr>
        <w:pStyle w:val="Overskrift2"/>
      </w:pPr>
      <w:r>
        <w:t>Lærernes arbejde</w:t>
      </w:r>
    </w:p>
    <w:p w:rsidR="00960660" w:rsidRDefault="00DA4230" w:rsidP="004E0FB7">
      <w:r>
        <w:t>Hensynet til sammenhængen i elevernes undervisning betyder, at organiseri</w:t>
      </w:r>
      <w:r>
        <w:t>n</w:t>
      </w:r>
      <w:r>
        <w:t>gen af lærernes arbejde skal nytænkes. Danmarks Lærerforening foreslår derfor, at lærernes undervisningsopgave som udgangspunkt tilrettelægges som 5 sa</w:t>
      </w:r>
      <w:r>
        <w:t>m</w:t>
      </w:r>
      <w:r>
        <w:t>menhængende klokketimers undervisning pr. skoledag. (25</w:t>
      </w:r>
      <w:r w:rsidR="004250B1">
        <w:t xml:space="preserve"> timer</w:t>
      </w:r>
      <w:r>
        <w:t>/uge)</w:t>
      </w:r>
      <w:r w:rsidR="004F396E">
        <w:t>. Lære</w:t>
      </w:r>
      <w:r w:rsidR="004F396E">
        <w:t>r</w:t>
      </w:r>
      <w:r w:rsidR="004F396E">
        <w:t>teamene sikrer en glidende overgang mellem de forskellige undervisningsaktiv</w:t>
      </w:r>
      <w:r w:rsidR="004F396E">
        <w:t>i</w:t>
      </w:r>
      <w:r w:rsidR="004F396E">
        <w:t>teter og eventuelle skift mellem klasser og elevgrupper. Udover undervisning af eleverne kan skolelederen</w:t>
      </w:r>
      <w:r>
        <w:t xml:space="preserve"> </w:t>
      </w:r>
      <w:r w:rsidR="004F396E">
        <w:t>beslutte, at læreren skal varetage biblioteksfunktion, vejledning mv. som en del af undervisningen.</w:t>
      </w:r>
    </w:p>
    <w:p w:rsidR="00960660" w:rsidRDefault="00960660" w:rsidP="004E0FB7"/>
    <w:p w:rsidR="004D57E5" w:rsidRDefault="004D57E5" w:rsidP="004D57E5">
      <w:r w:rsidRPr="004D57E5">
        <w:t xml:space="preserve">Med mindre andet aftales har alle lærere </w:t>
      </w:r>
      <w:r w:rsidR="00C96DE8">
        <w:t>ligeledes</w:t>
      </w:r>
      <w:r>
        <w:t xml:space="preserve"> </w:t>
      </w:r>
      <w:r w:rsidRPr="004D57E5">
        <w:t>et antal aktivitetstimer i rel</w:t>
      </w:r>
      <w:r w:rsidRPr="004D57E5">
        <w:t>a</w:t>
      </w:r>
      <w:r w:rsidRPr="004D57E5">
        <w:t>tion til undervisningen. Timerne bruges som udgangspunkt til aktiviteter med egne elever. Det kan være i form af lektiecafe</w:t>
      </w:r>
      <w:r>
        <w:t>,</w:t>
      </w:r>
      <w:r w:rsidRPr="004D57E5">
        <w:t xml:space="preserve"> elevsamtaler</w:t>
      </w:r>
      <w:r>
        <w:t xml:space="preserve"> og</w:t>
      </w:r>
      <w:r w:rsidRPr="004D57E5">
        <w:t xml:space="preserve"> </w:t>
      </w:r>
      <w:r>
        <w:t>bevægelse</w:t>
      </w:r>
      <w:r w:rsidRPr="004D57E5">
        <w:t xml:space="preserve"> mv. Ligesom aktivitetstimer</w:t>
      </w:r>
      <w:r w:rsidR="00894C54">
        <w:t>,</w:t>
      </w:r>
      <w:r w:rsidRPr="004D57E5">
        <w:t xml:space="preserve"> jf. regeringens reformudspil</w:t>
      </w:r>
      <w:r w:rsidR="00894C54">
        <w:t>,</w:t>
      </w:r>
      <w:r w:rsidRPr="004D57E5">
        <w:t xml:space="preserve"> kan benyttes til </w:t>
      </w:r>
      <w:proofErr w:type="spellStart"/>
      <w:r w:rsidRPr="004D57E5">
        <w:t>to-lærer-</w:t>
      </w:r>
      <w:r w:rsidRPr="004D57E5">
        <w:lastRenderedPageBreak/>
        <w:t>ordninger</w:t>
      </w:r>
      <w:proofErr w:type="spellEnd"/>
      <w:r w:rsidRPr="004D57E5">
        <w:t xml:space="preserve"> ved, at lærerne deltage</w:t>
      </w:r>
      <w:r w:rsidR="00894C54">
        <w:t>r</w:t>
      </w:r>
      <w:r w:rsidRPr="004D57E5">
        <w:t xml:space="preserve"> i hinandens undervisning og dermed styrke</w:t>
      </w:r>
      <w:r w:rsidR="00894C54">
        <w:t>r</w:t>
      </w:r>
      <w:r w:rsidRPr="004D57E5">
        <w:t xml:space="preserve"> inklusionen. </w:t>
      </w:r>
    </w:p>
    <w:p w:rsidR="00C96DE8" w:rsidRDefault="00C96DE8" w:rsidP="004D57E5"/>
    <w:p w:rsidR="004D57E5" w:rsidRDefault="004D57E5" w:rsidP="004D57E5">
      <w:r w:rsidRPr="004D57E5">
        <w:t xml:space="preserve">Lærerne </w:t>
      </w:r>
      <w:r>
        <w:t>arbejder og samarbejder</w:t>
      </w:r>
      <w:r w:rsidRPr="004D57E5">
        <w:t xml:space="preserve"> på skolen</w:t>
      </w:r>
      <w:r>
        <w:t>. Som på andre moderne arbejd</w:t>
      </w:r>
      <w:r>
        <w:t>s</w:t>
      </w:r>
      <w:r>
        <w:t>pladser aftaler ledere og medarbejdere t</w:t>
      </w:r>
      <w:r w:rsidRPr="004D57E5">
        <w:t>ilstedeværelse med afsæt i gensidig fle</w:t>
      </w:r>
      <w:r w:rsidRPr="004D57E5">
        <w:t>k</w:t>
      </w:r>
      <w:r w:rsidRPr="004D57E5">
        <w:t xml:space="preserve">sibilitet, skolens faciliteter mv. </w:t>
      </w:r>
    </w:p>
    <w:p w:rsidR="00C96DE8" w:rsidRDefault="00C96DE8" w:rsidP="004D57E5"/>
    <w:p w:rsidR="00C96DE8" w:rsidRPr="004D57E5" w:rsidRDefault="00C96DE8" w:rsidP="004D57E5">
      <w:r>
        <w:t>Udover ovenstående foreslår Danmarks Lærerforening, at alle lærere deltager i efteruddannelse svarende til 9 årlige dage. Dette er nærmere beskrevet i nede</w:t>
      </w:r>
      <w:r>
        <w:t>n</w:t>
      </w:r>
      <w:r>
        <w:t>stående.</w:t>
      </w:r>
    </w:p>
    <w:p w:rsidR="000F5EAB" w:rsidRDefault="00A12D54" w:rsidP="007004F7">
      <w:pPr>
        <w:pStyle w:val="Overskrift2"/>
      </w:pPr>
      <w:r>
        <w:t>Kompetenceudvikling</w:t>
      </w:r>
      <w:r w:rsidR="007004F7">
        <w:t xml:space="preserve"> og</w:t>
      </w:r>
      <w:r w:rsidR="00CD64E7">
        <w:t xml:space="preserve"> viden</w:t>
      </w:r>
      <w:r w:rsidR="00857D97">
        <w:t>sformidling</w:t>
      </w:r>
      <w:r w:rsidR="00113E77">
        <w:t xml:space="preserve"> </w:t>
      </w:r>
    </w:p>
    <w:p w:rsidR="00844DF1" w:rsidRDefault="00844DF1" w:rsidP="00844DF1">
      <w:pPr>
        <w:spacing w:after="200"/>
        <w:rPr>
          <w:rFonts w:eastAsia="Calibri"/>
          <w:szCs w:val="23"/>
          <w:lang w:eastAsia="en-US"/>
        </w:rPr>
      </w:pPr>
      <w:r>
        <w:rPr>
          <w:rFonts w:eastAsia="Calibri"/>
          <w:szCs w:val="23"/>
          <w:lang w:eastAsia="en-US"/>
        </w:rPr>
        <w:t>Danmarks Lærerforening foreslår, at a</w:t>
      </w:r>
      <w:r w:rsidRPr="00CD64E7">
        <w:rPr>
          <w:rFonts w:eastAsia="Calibri"/>
          <w:szCs w:val="23"/>
          <w:lang w:eastAsia="en-US"/>
        </w:rPr>
        <w:t>lle lærere sikres deltagelse i efterudda</w:t>
      </w:r>
      <w:r w:rsidRPr="00CD64E7">
        <w:rPr>
          <w:rFonts w:eastAsia="Calibri"/>
          <w:szCs w:val="23"/>
          <w:lang w:eastAsia="en-US"/>
        </w:rPr>
        <w:t>n</w:t>
      </w:r>
      <w:r w:rsidRPr="00CD64E7">
        <w:rPr>
          <w:rFonts w:eastAsia="Calibri"/>
          <w:szCs w:val="23"/>
          <w:lang w:eastAsia="en-US"/>
        </w:rPr>
        <w:t xml:space="preserve">nelse i et omfang svarende til </w:t>
      </w:r>
      <w:r>
        <w:rPr>
          <w:rFonts w:eastAsia="Calibri"/>
          <w:szCs w:val="23"/>
          <w:lang w:eastAsia="en-US"/>
        </w:rPr>
        <w:t>ni</w:t>
      </w:r>
      <w:r w:rsidRPr="00CD64E7">
        <w:rPr>
          <w:rFonts w:eastAsia="Calibri"/>
          <w:szCs w:val="23"/>
          <w:lang w:eastAsia="en-US"/>
        </w:rPr>
        <w:t xml:space="preserve"> dage årligt. Uddannelsesafgifter mv. finansieres som beskrevet i regeringens reformudspil. Tiden til deltagelse deles ligeligt me</w:t>
      </w:r>
      <w:r w:rsidRPr="00CD64E7">
        <w:rPr>
          <w:rFonts w:eastAsia="Calibri"/>
          <w:szCs w:val="23"/>
          <w:lang w:eastAsia="en-US"/>
        </w:rPr>
        <w:t>l</w:t>
      </w:r>
      <w:r w:rsidRPr="00CD64E7">
        <w:rPr>
          <w:rFonts w:eastAsia="Calibri"/>
          <w:szCs w:val="23"/>
          <w:lang w:eastAsia="en-US"/>
        </w:rPr>
        <w:t xml:space="preserve">lem den enkelte lærer, kommunen og staten. </w:t>
      </w:r>
    </w:p>
    <w:p w:rsidR="005F3A36" w:rsidRPr="005F3A36" w:rsidRDefault="005F3A36" w:rsidP="005F3A36">
      <w:pPr>
        <w:spacing w:after="200"/>
        <w:rPr>
          <w:rFonts w:eastAsia="Calibri"/>
          <w:szCs w:val="23"/>
          <w:lang w:eastAsia="en-US"/>
        </w:rPr>
      </w:pPr>
      <w:r w:rsidRPr="005F3A36">
        <w:rPr>
          <w:rFonts w:eastAsia="Calibri"/>
          <w:szCs w:val="23"/>
          <w:lang w:eastAsia="en-US"/>
        </w:rPr>
        <w:t>D</w:t>
      </w:r>
      <w:r>
        <w:rPr>
          <w:rFonts w:eastAsia="Calibri"/>
          <w:szCs w:val="23"/>
          <w:lang w:eastAsia="en-US"/>
        </w:rPr>
        <w:t xml:space="preserve">anmarks Lærerforening deler </w:t>
      </w:r>
      <w:r w:rsidR="00CD64E7">
        <w:rPr>
          <w:rFonts w:eastAsia="Calibri"/>
          <w:szCs w:val="23"/>
          <w:lang w:eastAsia="en-US"/>
        </w:rPr>
        <w:t>regeringens ambition om, at alle lærere inden 2020 skal have linjefagskompetencer i de fag</w:t>
      </w:r>
      <w:r w:rsidR="00D929BF">
        <w:rPr>
          <w:rFonts w:eastAsia="Calibri"/>
          <w:szCs w:val="23"/>
          <w:lang w:eastAsia="en-US"/>
        </w:rPr>
        <w:t>,</w:t>
      </w:r>
      <w:r w:rsidR="00CD64E7">
        <w:rPr>
          <w:rFonts w:eastAsia="Calibri"/>
          <w:szCs w:val="23"/>
          <w:lang w:eastAsia="en-US"/>
        </w:rPr>
        <w:t xml:space="preserve"> de underviser i. Det er </w:t>
      </w:r>
      <w:r w:rsidRPr="005F3A36">
        <w:rPr>
          <w:rFonts w:eastAsia="Calibri"/>
          <w:szCs w:val="23"/>
          <w:lang w:eastAsia="en-US"/>
        </w:rPr>
        <w:t>uaccept</w:t>
      </w:r>
      <w:r w:rsidRPr="005F3A36">
        <w:rPr>
          <w:rFonts w:eastAsia="Calibri"/>
          <w:szCs w:val="23"/>
          <w:lang w:eastAsia="en-US"/>
        </w:rPr>
        <w:t>a</w:t>
      </w:r>
      <w:r w:rsidRPr="005F3A36">
        <w:rPr>
          <w:rFonts w:eastAsia="Calibri"/>
          <w:szCs w:val="23"/>
          <w:lang w:eastAsia="en-US"/>
        </w:rPr>
        <w:t>belt, at der er enkelte fag, hvor elever i 78 % af klasserne i den danske folkesk</w:t>
      </w:r>
      <w:r w:rsidRPr="005F3A36">
        <w:rPr>
          <w:rFonts w:eastAsia="Calibri"/>
          <w:szCs w:val="23"/>
          <w:lang w:eastAsia="en-US"/>
        </w:rPr>
        <w:t>o</w:t>
      </w:r>
      <w:r w:rsidRPr="005F3A36">
        <w:rPr>
          <w:rFonts w:eastAsia="Calibri"/>
          <w:szCs w:val="23"/>
          <w:lang w:eastAsia="en-US"/>
        </w:rPr>
        <w:t>le har lærere, som ikke har linjefag</w:t>
      </w:r>
      <w:r w:rsidRPr="005F3A36">
        <w:rPr>
          <w:rFonts w:eastAsia="Calibri"/>
          <w:szCs w:val="23"/>
          <w:vertAlign w:val="superscript"/>
          <w:lang w:eastAsia="en-US"/>
        </w:rPr>
        <w:footnoteReference w:id="6"/>
      </w:r>
      <w:r w:rsidRPr="005F3A36">
        <w:rPr>
          <w:rFonts w:eastAsia="Calibri"/>
          <w:szCs w:val="23"/>
          <w:lang w:eastAsia="en-US"/>
        </w:rPr>
        <w:t xml:space="preserve">.   </w:t>
      </w:r>
    </w:p>
    <w:p w:rsidR="00CD64E7" w:rsidRDefault="00CD64E7" w:rsidP="005F3A36">
      <w:pPr>
        <w:spacing w:after="200"/>
        <w:rPr>
          <w:rFonts w:eastAsia="Calibri"/>
          <w:szCs w:val="23"/>
          <w:lang w:eastAsia="en-US"/>
        </w:rPr>
      </w:pPr>
      <w:r>
        <w:rPr>
          <w:rFonts w:eastAsia="Calibri"/>
          <w:szCs w:val="23"/>
          <w:lang w:eastAsia="en-US"/>
        </w:rPr>
        <w:t>De beløb, der er afsat i regeringens forslag</w:t>
      </w:r>
      <w:r w:rsidR="00D929BF">
        <w:rPr>
          <w:rFonts w:eastAsia="Calibri"/>
          <w:szCs w:val="23"/>
          <w:lang w:eastAsia="en-US"/>
        </w:rPr>
        <w:t>,</w:t>
      </w:r>
      <w:r>
        <w:rPr>
          <w:rFonts w:eastAsia="Calibri"/>
          <w:szCs w:val="23"/>
          <w:lang w:eastAsia="en-US"/>
        </w:rPr>
        <w:t xml:space="preserve"> vil som udgangspunkt ikke række til at nå regeringens ambition. </w:t>
      </w:r>
      <w:r w:rsidR="005F3A36" w:rsidRPr="005F3A36">
        <w:rPr>
          <w:rFonts w:eastAsia="Calibri"/>
          <w:szCs w:val="23"/>
          <w:lang w:eastAsia="en-US"/>
        </w:rPr>
        <w:t>Regering, KL og Danmarks Lærerforening bør sammen lave en efteruddannelsesplan, der sikrer</w:t>
      </w:r>
      <w:r w:rsidR="007004F7">
        <w:rPr>
          <w:rFonts w:eastAsia="Calibri"/>
          <w:szCs w:val="23"/>
          <w:lang w:eastAsia="en-US"/>
        </w:rPr>
        <w:t xml:space="preserve"> at målet kan realiseres</w:t>
      </w:r>
      <w:r>
        <w:rPr>
          <w:rFonts w:eastAsia="Calibri"/>
          <w:szCs w:val="23"/>
          <w:lang w:eastAsia="en-US"/>
        </w:rPr>
        <w:t xml:space="preserve"> den. </w:t>
      </w:r>
    </w:p>
    <w:p w:rsidR="005F3A36" w:rsidRDefault="00CD64E7" w:rsidP="00CD64E7">
      <w:pPr>
        <w:spacing w:after="200"/>
        <w:rPr>
          <w:rFonts w:eastAsia="Calibri"/>
          <w:szCs w:val="23"/>
          <w:lang w:eastAsia="en-US"/>
        </w:rPr>
      </w:pPr>
      <w:r>
        <w:rPr>
          <w:rFonts w:eastAsia="Calibri"/>
          <w:szCs w:val="23"/>
          <w:lang w:eastAsia="en-US"/>
        </w:rPr>
        <w:t>I en sådan</w:t>
      </w:r>
      <w:r w:rsidRPr="00CD64E7">
        <w:rPr>
          <w:rFonts w:eastAsia="Calibri"/>
          <w:szCs w:val="23"/>
          <w:lang w:eastAsia="en-US"/>
        </w:rPr>
        <w:t xml:space="preserve"> 3-parts-drøftelse</w:t>
      </w:r>
      <w:r>
        <w:rPr>
          <w:rFonts w:eastAsia="Calibri"/>
          <w:szCs w:val="23"/>
          <w:lang w:eastAsia="en-US"/>
        </w:rPr>
        <w:t xml:space="preserve"> vil det være naturligt at inddrage jobrotationsor</w:t>
      </w:r>
      <w:r>
        <w:rPr>
          <w:rFonts w:eastAsia="Calibri"/>
          <w:szCs w:val="23"/>
          <w:lang w:eastAsia="en-US"/>
        </w:rPr>
        <w:t>d</w:t>
      </w:r>
      <w:r>
        <w:rPr>
          <w:rFonts w:eastAsia="Calibri"/>
          <w:szCs w:val="23"/>
          <w:lang w:eastAsia="en-US"/>
        </w:rPr>
        <w:t xml:space="preserve">ninger, så den </w:t>
      </w:r>
      <w:r w:rsidRPr="00CD64E7">
        <w:rPr>
          <w:rFonts w:eastAsia="Calibri"/>
          <w:szCs w:val="23"/>
          <w:lang w:eastAsia="en-US"/>
        </w:rPr>
        <w:t xml:space="preserve">halve milliard, der i dag bruges til passiv forsørgelse af </w:t>
      </w:r>
      <w:r>
        <w:rPr>
          <w:rFonts w:eastAsia="Calibri"/>
          <w:szCs w:val="23"/>
          <w:lang w:eastAsia="en-US"/>
        </w:rPr>
        <w:t xml:space="preserve">ledige </w:t>
      </w:r>
      <w:r w:rsidRPr="00CD64E7">
        <w:rPr>
          <w:rFonts w:eastAsia="Calibri"/>
          <w:szCs w:val="23"/>
          <w:lang w:eastAsia="en-US"/>
        </w:rPr>
        <w:t>lærere, bringes i spil</w:t>
      </w:r>
      <w:r>
        <w:rPr>
          <w:rFonts w:eastAsia="Calibri"/>
          <w:szCs w:val="23"/>
          <w:lang w:eastAsia="en-US"/>
        </w:rPr>
        <w:t xml:space="preserve"> til at kvalificere grundlaget for elevernes undervisning.</w:t>
      </w:r>
      <w:r w:rsidR="005F3A36" w:rsidRPr="005F3A36">
        <w:rPr>
          <w:rFonts w:eastAsia="Calibri"/>
          <w:szCs w:val="23"/>
          <w:lang w:eastAsia="en-US"/>
        </w:rPr>
        <w:t xml:space="preserve"> </w:t>
      </w:r>
    </w:p>
    <w:p w:rsidR="00C96DE8" w:rsidRPr="00C96DE8" w:rsidRDefault="00CD64E7" w:rsidP="00C96DE8">
      <w:pPr>
        <w:spacing w:after="200"/>
        <w:rPr>
          <w:rFonts w:eastAsia="Calibri"/>
          <w:szCs w:val="23"/>
          <w:lang w:eastAsia="en-US"/>
        </w:rPr>
      </w:pPr>
      <w:r>
        <w:rPr>
          <w:rFonts w:eastAsia="Calibri"/>
          <w:szCs w:val="23"/>
          <w:lang w:eastAsia="en-US"/>
        </w:rPr>
        <w:t xml:space="preserve">Foreningen har tidligere foreslået, at </w:t>
      </w:r>
      <w:r w:rsidR="00C96DE8" w:rsidRPr="00C96DE8">
        <w:rPr>
          <w:rFonts w:eastAsia="Calibri"/>
          <w:szCs w:val="23"/>
          <w:lang w:eastAsia="en-US"/>
        </w:rPr>
        <w:t xml:space="preserve">ledige lærere </w:t>
      </w:r>
      <w:r>
        <w:rPr>
          <w:rFonts w:eastAsia="Calibri"/>
          <w:szCs w:val="23"/>
          <w:lang w:eastAsia="en-US"/>
        </w:rPr>
        <w:t xml:space="preserve">ansættes </w:t>
      </w:r>
      <w:r w:rsidR="00C96DE8" w:rsidRPr="00C96DE8">
        <w:rPr>
          <w:rFonts w:eastAsia="Calibri"/>
          <w:szCs w:val="23"/>
          <w:lang w:eastAsia="en-US"/>
        </w:rPr>
        <w:t>i et timetal svarende til dagpenge</w:t>
      </w:r>
      <w:r>
        <w:rPr>
          <w:rFonts w:eastAsia="Calibri"/>
          <w:szCs w:val="23"/>
          <w:lang w:eastAsia="en-US"/>
        </w:rPr>
        <w:t xml:space="preserve">. Dette kunne give mulighed </w:t>
      </w:r>
      <w:r w:rsidR="00C96DE8" w:rsidRPr="00C96DE8">
        <w:rPr>
          <w:rFonts w:eastAsia="Calibri"/>
          <w:szCs w:val="23"/>
          <w:lang w:eastAsia="en-US"/>
        </w:rPr>
        <w:t xml:space="preserve">for </w:t>
      </w:r>
      <w:r>
        <w:rPr>
          <w:rFonts w:eastAsia="Calibri"/>
          <w:szCs w:val="23"/>
          <w:lang w:eastAsia="en-US"/>
        </w:rPr>
        <w:t>en</w:t>
      </w:r>
      <w:r w:rsidR="00C96DE8" w:rsidRPr="00C96DE8">
        <w:rPr>
          <w:rFonts w:eastAsia="Calibri"/>
          <w:szCs w:val="23"/>
          <w:lang w:eastAsia="en-US"/>
        </w:rPr>
        <w:t xml:space="preserve"> ekstr</w:t>
      </w:r>
      <w:r>
        <w:rPr>
          <w:rFonts w:eastAsia="Calibri"/>
          <w:szCs w:val="23"/>
          <w:lang w:eastAsia="en-US"/>
        </w:rPr>
        <w:t>a</w:t>
      </w:r>
      <w:r w:rsidR="00C96DE8" w:rsidRPr="00C96DE8">
        <w:rPr>
          <w:rFonts w:eastAsia="Calibri"/>
          <w:szCs w:val="23"/>
          <w:lang w:eastAsia="en-US"/>
        </w:rPr>
        <w:t>ordinær uddannelsesin</w:t>
      </w:r>
      <w:r w:rsidR="00C96DE8" w:rsidRPr="00C96DE8">
        <w:rPr>
          <w:rFonts w:eastAsia="Calibri"/>
          <w:szCs w:val="23"/>
          <w:lang w:eastAsia="en-US"/>
        </w:rPr>
        <w:t>d</w:t>
      </w:r>
      <w:r w:rsidR="00C96DE8" w:rsidRPr="00C96DE8">
        <w:rPr>
          <w:rFonts w:eastAsia="Calibri"/>
          <w:szCs w:val="23"/>
          <w:lang w:eastAsia="en-US"/>
        </w:rPr>
        <w:t>sats i de første år</w:t>
      </w:r>
      <w:r>
        <w:rPr>
          <w:rFonts w:eastAsia="Calibri"/>
          <w:szCs w:val="23"/>
          <w:lang w:eastAsia="en-US"/>
        </w:rPr>
        <w:t>.</w:t>
      </w:r>
    </w:p>
    <w:p w:rsidR="007F7CEB" w:rsidRDefault="007F7CEB" w:rsidP="00C96DE8">
      <w:pPr>
        <w:spacing w:after="200"/>
        <w:rPr>
          <w:rFonts w:eastAsia="Calibri"/>
          <w:szCs w:val="23"/>
          <w:lang w:eastAsia="en-US"/>
        </w:rPr>
      </w:pPr>
      <w:r w:rsidRPr="005F3A36">
        <w:rPr>
          <w:rFonts w:eastAsia="Calibri"/>
          <w:szCs w:val="23"/>
          <w:lang w:eastAsia="en-US"/>
        </w:rPr>
        <w:t>International uddannelsesforskning peger entydigt på, at udfoldelsen</w:t>
      </w:r>
      <w:r>
        <w:rPr>
          <w:rFonts w:eastAsia="Calibri"/>
          <w:szCs w:val="23"/>
          <w:lang w:eastAsia="en-US"/>
        </w:rPr>
        <w:t xml:space="preserve"> af</w:t>
      </w:r>
      <w:r w:rsidRPr="005F3A36">
        <w:rPr>
          <w:rFonts w:eastAsia="Calibri"/>
          <w:szCs w:val="23"/>
          <w:lang w:eastAsia="en-US"/>
        </w:rPr>
        <w:t xml:space="preserve"> læreres ekspertise i form af viden og kompetencer er den væsentligste enkeltfaktor til forklaring af elevers udbytte af undervisning</w:t>
      </w:r>
      <w:r w:rsidRPr="005F3A36">
        <w:rPr>
          <w:rFonts w:eastAsia="Calibri"/>
          <w:szCs w:val="23"/>
          <w:vertAlign w:val="superscript"/>
          <w:lang w:eastAsia="en-US"/>
        </w:rPr>
        <w:footnoteReference w:id="7"/>
      </w:r>
      <w:r>
        <w:rPr>
          <w:rFonts w:eastAsia="Calibri"/>
          <w:szCs w:val="23"/>
          <w:lang w:eastAsia="en-US"/>
        </w:rPr>
        <w:t xml:space="preserve"> </w:t>
      </w:r>
      <w:r w:rsidRPr="005F3A36">
        <w:rPr>
          <w:rFonts w:eastAsia="Calibri"/>
          <w:szCs w:val="23"/>
          <w:vertAlign w:val="superscript"/>
          <w:lang w:eastAsia="en-US"/>
        </w:rPr>
        <w:footnoteReference w:id="8"/>
      </w:r>
      <w:r w:rsidRPr="005F3A36">
        <w:rPr>
          <w:rFonts w:eastAsia="Calibri"/>
          <w:szCs w:val="23"/>
          <w:lang w:eastAsia="en-US"/>
        </w:rPr>
        <w:t xml:space="preserve">. </w:t>
      </w:r>
    </w:p>
    <w:p w:rsidR="00857D97" w:rsidRDefault="00857D97" w:rsidP="00C96DE8">
      <w:pPr>
        <w:spacing w:after="200"/>
        <w:rPr>
          <w:rFonts w:eastAsia="Calibri"/>
          <w:szCs w:val="23"/>
          <w:lang w:eastAsia="en-US"/>
        </w:rPr>
      </w:pPr>
      <w:r>
        <w:rPr>
          <w:rFonts w:eastAsia="Calibri"/>
          <w:szCs w:val="23"/>
          <w:lang w:eastAsia="en-US"/>
        </w:rPr>
        <w:t>Regeringens forslag om at ansætte et korps af dygtige lærere og ledere som konsulenter til at understøtte skolerne og kommunerne i udmøntningen af den centralt definerede indsats er rigtig god.</w:t>
      </w:r>
    </w:p>
    <w:p w:rsidR="00857D97" w:rsidRDefault="00857D97" w:rsidP="00C96DE8">
      <w:pPr>
        <w:spacing w:after="200"/>
        <w:rPr>
          <w:rFonts w:eastAsia="Calibri"/>
          <w:szCs w:val="23"/>
          <w:lang w:eastAsia="en-US"/>
        </w:rPr>
      </w:pPr>
      <w:r>
        <w:rPr>
          <w:rFonts w:eastAsia="Calibri"/>
          <w:szCs w:val="23"/>
          <w:lang w:eastAsia="en-US"/>
        </w:rPr>
        <w:t>Korpsets begrænsede størrelse, hvor hver af de 40 konsulenter skal dække 30 – 40 skoler gør det nødvendigt, at skolens parter i fællesskab sikre</w:t>
      </w:r>
      <w:r w:rsidR="00754467">
        <w:rPr>
          <w:rFonts w:eastAsia="Calibri"/>
          <w:szCs w:val="23"/>
          <w:lang w:eastAsia="en-US"/>
        </w:rPr>
        <w:t>r</w:t>
      </w:r>
      <w:r>
        <w:rPr>
          <w:rFonts w:eastAsia="Calibri"/>
          <w:szCs w:val="23"/>
          <w:lang w:eastAsia="en-US"/>
        </w:rPr>
        <w:t xml:space="preserve">, at korpsets indsats giver den optimale effekt. </w:t>
      </w:r>
    </w:p>
    <w:p w:rsidR="00857D97" w:rsidRDefault="00477B82" w:rsidP="00C96DE8">
      <w:pPr>
        <w:spacing w:after="200"/>
        <w:rPr>
          <w:rFonts w:eastAsia="Calibri"/>
          <w:szCs w:val="23"/>
          <w:lang w:eastAsia="en-US"/>
        </w:rPr>
      </w:pPr>
      <w:r>
        <w:rPr>
          <w:rFonts w:eastAsia="Calibri"/>
          <w:szCs w:val="23"/>
          <w:lang w:eastAsia="en-US"/>
        </w:rPr>
        <w:lastRenderedPageBreak/>
        <w:t>Det bør overvejes</w:t>
      </w:r>
      <w:r w:rsidR="00754467">
        <w:rPr>
          <w:rFonts w:eastAsia="Calibri"/>
          <w:szCs w:val="23"/>
          <w:lang w:eastAsia="en-US"/>
        </w:rPr>
        <w:t>,</w:t>
      </w:r>
      <w:r>
        <w:rPr>
          <w:rFonts w:eastAsia="Calibri"/>
          <w:szCs w:val="23"/>
          <w:lang w:eastAsia="en-US"/>
        </w:rPr>
        <w:t xml:space="preserve"> om korpset kan styrkes, så det også råder også evaluering</w:t>
      </w:r>
      <w:r>
        <w:rPr>
          <w:rFonts w:eastAsia="Calibri"/>
          <w:szCs w:val="23"/>
          <w:lang w:eastAsia="en-US"/>
        </w:rPr>
        <w:t>s</w:t>
      </w:r>
      <w:r>
        <w:rPr>
          <w:rFonts w:eastAsia="Calibri"/>
          <w:szCs w:val="23"/>
          <w:lang w:eastAsia="en-US"/>
        </w:rPr>
        <w:t>faglig ekspertise. En ekspertise, der kan understøtte et grundlag for en kvalific</w:t>
      </w:r>
      <w:r>
        <w:rPr>
          <w:rFonts w:eastAsia="Calibri"/>
          <w:szCs w:val="23"/>
          <w:lang w:eastAsia="en-US"/>
        </w:rPr>
        <w:t>e</w:t>
      </w:r>
      <w:r>
        <w:rPr>
          <w:rFonts w:eastAsia="Calibri"/>
          <w:szCs w:val="23"/>
          <w:lang w:eastAsia="en-US"/>
        </w:rPr>
        <w:t xml:space="preserve">ret vidensdeling på tværs af skolerne – og sikre en systematisk opsamling på resultaterne for skolernes arbejde. </w:t>
      </w:r>
    </w:p>
    <w:p w:rsidR="00F54A37" w:rsidRDefault="00F54A37" w:rsidP="00F54A37">
      <w:pPr>
        <w:pStyle w:val="Overskrift2"/>
        <w:rPr>
          <w:rFonts w:eastAsia="Calibri"/>
          <w:lang w:eastAsia="en-US"/>
        </w:rPr>
      </w:pPr>
      <w:r>
        <w:rPr>
          <w:rFonts w:eastAsia="Calibri"/>
          <w:lang w:eastAsia="en-US"/>
        </w:rPr>
        <w:t>Fagligt løft i dansk og matematik</w:t>
      </w:r>
    </w:p>
    <w:p w:rsidR="00C46E80" w:rsidRDefault="00C46E80" w:rsidP="00477B82">
      <w:pPr>
        <w:spacing w:after="200"/>
        <w:rPr>
          <w:rFonts w:eastAsia="Calibri"/>
          <w:szCs w:val="23"/>
          <w:lang w:eastAsia="en-US"/>
        </w:rPr>
      </w:pPr>
      <w:r>
        <w:rPr>
          <w:rFonts w:eastAsia="Calibri"/>
          <w:szCs w:val="23"/>
          <w:lang w:eastAsia="en-US"/>
        </w:rPr>
        <w:t>Danmarks Lærerforening medvirker gerne til en markant styrkelse af elevernes læse- og matematikkompetencer</w:t>
      </w:r>
    </w:p>
    <w:p w:rsidR="00477B82" w:rsidRPr="00477B82" w:rsidRDefault="00477B82" w:rsidP="00477B82">
      <w:pPr>
        <w:spacing w:after="200"/>
        <w:rPr>
          <w:rFonts w:eastAsia="Calibri"/>
          <w:szCs w:val="23"/>
          <w:lang w:eastAsia="en-US"/>
        </w:rPr>
      </w:pPr>
      <w:r w:rsidRPr="00477B82">
        <w:rPr>
          <w:rFonts w:eastAsia="Calibri"/>
          <w:szCs w:val="23"/>
          <w:lang w:eastAsia="en-US"/>
        </w:rPr>
        <w:t xml:space="preserve">Næsten halvdelen af skolerne i landets kommuner er med afsæt i Danmarks Lærerforenings projekt </w:t>
      </w:r>
      <w:r w:rsidRPr="00477B82">
        <w:rPr>
          <w:rFonts w:eastAsia="Calibri"/>
          <w:i/>
          <w:szCs w:val="23"/>
          <w:lang w:eastAsia="en-US"/>
        </w:rPr>
        <w:t>Vi læser for livet</w:t>
      </w:r>
      <w:r w:rsidRPr="00477B82">
        <w:rPr>
          <w:rFonts w:eastAsia="Calibri"/>
          <w:szCs w:val="23"/>
          <w:lang w:eastAsia="en-US"/>
        </w:rPr>
        <w:t xml:space="preserve"> fokuseret på at skabe kvalitetsfremgang i </w:t>
      </w:r>
      <w:r>
        <w:rPr>
          <w:rFonts w:eastAsia="Calibri"/>
          <w:szCs w:val="23"/>
          <w:lang w:eastAsia="en-US"/>
        </w:rPr>
        <w:t>e</w:t>
      </w:r>
      <w:r w:rsidRPr="00477B82">
        <w:rPr>
          <w:rFonts w:eastAsia="Calibri"/>
          <w:szCs w:val="23"/>
          <w:lang w:eastAsia="en-US"/>
        </w:rPr>
        <w:t>lever</w:t>
      </w:r>
      <w:r>
        <w:rPr>
          <w:rFonts w:eastAsia="Calibri"/>
          <w:szCs w:val="23"/>
          <w:lang w:eastAsia="en-US"/>
        </w:rPr>
        <w:t>nes</w:t>
      </w:r>
      <w:r w:rsidRPr="00477B82">
        <w:rPr>
          <w:rFonts w:eastAsia="Calibri"/>
          <w:szCs w:val="23"/>
          <w:lang w:eastAsia="en-US"/>
        </w:rPr>
        <w:t xml:space="preserve"> læseundervisning gennem en satsning på læsning og skrivning i alle fag. 97 % af de skoleledere, læsevejledere og tillidsrepræsentanter, der er blevet præsenteret for projektet</w:t>
      </w:r>
      <w:r w:rsidR="00754467">
        <w:rPr>
          <w:rFonts w:eastAsia="Calibri"/>
          <w:szCs w:val="23"/>
          <w:lang w:eastAsia="en-US"/>
        </w:rPr>
        <w:t>,</w:t>
      </w:r>
      <w:r w:rsidRPr="00477B82">
        <w:rPr>
          <w:rFonts w:eastAsia="Calibri"/>
          <w:szCs w:val="23"/>
          <w:lang w:eastAsia="en-US"/>
        </w:rPr>
        <w:t xml:space="preserve"> finder, at det i nog</w:t>
      </w:r>
      <w:r w:rsidR="00754467">
        <w:rPr>
          <w:rFonts w:eastAsia="Calibri"/>
          <w:szCs w:val="23"/>
          <w:lang w:eastAsia="en-US"/>
        </w:rPr>
        <w:t>en</w:t>
      </w:r>
      <w:r w:rsidRPr="00477B82">
        <w:rPr>
          <w:rFonts w:eastAsia="Calibri"/>
          <w:szCs w:val="23"/>
          <w:lang w:eastAsia="en-US"/>
        </w:rPr>
        <w:t xml:space="preserve"> eller høj grad giver dem lyst og inspiration til at iværksætte tiltag på deres skole</w:t>
      </w:r>
      <w:r w:rsidRPr="00477B82">
        <w:rPr>
          <w:rFonts w:eastAsia="Calibri"/>
          <w:szCs w:val="23"/>
          <w:vertAlign w:val="superscript"/>
          <w:lang w:eastAsia="en-US"/>
        </w:rPr>
        <w:footnoteReference w:id="9"/>
      </w:r>
      <w:r w:rsidRPr="00477B82">
        <w:rPr>
          <w:rFonts w:eastAsia="Calibri"/>
          <w:szCs w:val="23"/>
          <w:lang w:eastAsia="en-US"/>
        </w:rPr>
        <w:t>.</w:t>
      </w:r>
    </w:p>
    <w:p w:rsidR="009121D4" w:rsidRDefault="00477B82" w:rsidP="009121D4">
      <w:pPr>
        <w:rPr>
          <w:rFonts w:eastAsia="Calibri"/>
          <w:lang w:eastAsia="en-US"/>
        </w:rPr>
      </w:pPr>
      <w:r w:rsidRPr="00477B82">
        <w:rPr>
          <w:rFonts w:eastAsia="Calibri"/>
          <w:lang w:eastAsia="en-US"/>
        </w:rPr>
        <w:t xml:space="preserve">Ideen med at etablere </w:t>
      </w:r>
      <w:r w:rsidR="00754467">
        <w:rPr>
          <w:rFonts w:eastAsia="Calibri"/>
          <w:lang w:eastAsia="en-US"/>
        </w:rPr>
        <w:t xml:space="preserve">en </w:t>
      </w:r>
      <w:r w:rsidRPr="00477B82">
        <w:rPr>
          <w:rFonts w:eastAsia="Calibri"/>
          <w:lang w:eastAsia="en-US"/>
        </w:rPr>
        <w:t>målrettet indsats, hvor der er fokus på, hvordan eks</w:t>
      </w:r>
      <w:r w:rsidRPr="00477B82">
        <w:rPr>
          <w:rFonts w:eastAsia="Calibri"/>
          <w:lang w:eastAsia="en-US"/>
        </w:rPr>
        <w:t>i</w:t>
      </w:r>
      <w:r w:rsidRPr="00477B82">
        <w:rPr>
          <w:rFonts w:eastAsia="Calibri"/>
          <w:lang w:eastAsia="en-US"/>
        </w:rPr>
        <w:t>sterende uddannelsesforskning og praktikernes viden i en fælles forpligtende proces</w:t>
      </w:r>
      <w:r w:rsidR="00754467">
        <w:rPr>
          <w:rFonts w:eastAsia="Calibri"/>
          <w:lang w:eastAsia="en-US"/>
        </w:rPr>
        <w:t>,</w:t>
      </w:r>
      <w:r w:rsidRPr="00477B82">
        <w:rPr>
          <w:rFonts w:eastAsia="Calibri"/>
          <w:lang w:eastAsia="en-US"/>
        </w:rPr>
        <w:t xml:space="preserve"> skabe</w:t>
      </w:r>
      <w:r>
        <w:rPr>
          <w:rFonts w:eastAsia="Calibri"/>
          <w:lang w:eastAsia="en-US"/>
        </w:rPr>
        <w:t>r</w:t>
      </w:r>
      <w:r w:rsidRPr="00477B82">
        <w:rPr>
          <w:rFonts w:eastAsia="Calibri"/>
          <w:lang w:eastAsia="en-US"/>
        </w:rPr>
        <w:t xml:space="preserve"> resultater</w:t>
      </w:r>
      <w:r>
        <w:rPr>
          <w:rFonts w:eastAsia="Calibri"/>
          <w:lang w:eastAsia="en-US"/>
        </w:rPr>
        <w:t xml:space="preserve">. Der er derfor god grund til at udbrede formen til andre områder, hvor der er behov for en systematisk indsats – og til at forpligte </w:t>
      </w:r>
    </w:p>
    <w:p w:rsidR="00477B82" w:rsidRDefault="009121D4" w:rsidP="009121D4">
      <w:pPr>
        <w:rPr>
          <w:rFonts w:eastAsia="Calibri"/>
          <w:lang w:eastAsia="en-US"/>
        </w:rPr>
      </w:pPr>
      <w:r>
        <w:rPr>
          <w:rFonts w:eastAsia="Calibri"/>
          <w:lang w:eastAsia="en-US"/>
        </w:rPr>
        <w:t>d</w:t>
      </w:r>
      <w:r w:rsidR="00477B82">
        <w:rPr>
          <w:rFonts w:eastAsia="Calibri"/>
          <w:lang w:eastAsia="en-US"/>
        </w:rPr>
        <w:t>e kommuner, der ikke har taget udfordringen op</w:t>
      </w:r>
      <w:r w:rsidR="00754467">
        <w:rPr>
          <w:rFonts w:eastAsia="Calibri"/>
          <w:lang w:eastAsia="en-US"/>
        </w:rPr>
        <w:t>,</w:t>
      </w:r>
      <w:r w:rsidR="00477B82">
        <w:rPr>
          <w:rFonts w:eastAsia="Calibri"/>
          <w:lang w:eastAsia="en-US"/>
        </w:rPr>
        <w:t xml:space="preserve"> til at deltage.</w:t>
      </w:r>
      <w:r w:rsidR="00113E77" w:rsidRPr="00477B82">
        <w:rPr>
          <w:rFonts w:eastAsia="Calibri"/>
          <w:lang w:eastAsia="en-US"/>
        </w:rPr>
        <w:t xml:space="preserve"> </w:t>
      </w:r>
    </w:p>
    <w:p w:rsidR="009121D4" w:rsidRDefault="009121D4" w:rsidP="009121D4">
      <w:pPr>
        <w:rPr>
          <w:rFonts w:eastAsia="Calibri"/>
          <w:lang w:eastAsia="en-US"/>
        </w:rPr>
      </w:pPr>
    </w:p>
    <w:p w:rsidR="00C46E80" w:rsidRDefault="00F54A37" w:rsidP="00477B82">
      <w:pPr>
        <w:spacing w:after="200"/>
        <w:rPr>
          <w:rFonts w:eastAsia="Calibri"/>
          <w:szCs w:val="23"/>
          <w:lang w:eastAsia="en-US"/>
        </w:rPr>
      </w:pPr>
      <w:r>
        <w:rPr>
          <w:rFonts w:eastAsia="Calibri"/>
          <w:szCs w:val="23"/>
          <w:lang w:eastAsia="en-US"/>
        </w:rPr>
        <w:t>Børne- og Undervisningsministeren har med inspiration fra Danmarks Lære</w:t>
      </w:r>
      <w:r>
        <w:rPr>
          <w:rFonts w:eastAsia="Calibri"/>
          <w:szCs w:val="23"/>
          <w:lang w:eastAsia="en-US"/>
        </w:rPr>
        <w:t>r</w:t>
      </w:r>
      <w:r>
        <w:rPr>
          <w:rFonts w:eastAsia="Calibri"/>
          <w:szCs w:val="23"/>
          <w:lang w:eastAsia="en-US"/>
        </w:rPr>
        <w:t xml:space="preserve">foreningens </w:t>
      </w:r>
      <w:r>
        <w:rPr>
          <w:rFonts w:eastAsia="Calibri"/>
          <w:i/>
          <w:szCs w:val="23"/>
          <w:lang w:eastAsia="en-US"/>
        </w:rPr>
        <w:t>Vi læser for livet</w:t>
      </w:r>
      <w:r>
        <w:rPr>
          <w:rFonts w:eastAsia="Calibri"/>
          <w:szCs w:val="23"/>
          <w:lang w:eastAsia="en-US"/>
        </w:rPr>
        <w:t xml:space="preserve"> inviteret en eksper</w:t>
      </w:r>
      <w:r w:rsidR="00E92101">
        <w:rPr>
          <w:rFonts w:eastAsia="Calibri"/>
          <w:szCs w:val="23"/>
          <w:lang w:eastAsia="en-US"/>
        </w:rPr>
        <w:t>t</w:t>
      </w:r>
      <w:r>
        <w:rPr>
          <w:rFonts w:eastAsia="Calibri"/>
          <w:szCs w:val="23"/>
          <w:lang w:eastAsia="en-US"/>
        </w:rPr>
        <w:t xml:space="preserve">gruppe til et lignende tiltag inden for anvendt matematik.  </w:t>
      </w:r>
    </w:p>
    <w:p w:rsidR="00F54A37" w:rsidRDefault="00F54A37" w:rsidP="00F54A37">
      <w:pPr>
        <w:pStyle w:val="msolistparagraph0"/>
        <w:ind w:left="0"/>
        <w:rPr>
          <w:rFonts w:ascii="Garamond" w:hAnsi="Garamond"/>
          <w:sz w:val="23"/>
          <w:szCs w:val="23"/>
        </w:rPr>
      </w:pPr>
      <w:r>
        <w:rPr>
          <w:rFonts w:ascii="Garamond" w:hAnsi="Garamond"/>
          <w:sz w:val="23"/>
          <w:szCs w:val="23"/>
        </w:rPr>
        <w:t xml:space="preserve">Matematik er folkeskolens næststørste fag og dermed et helt centralt fag, som involverer alle folkeskoleelever og en stor gruppe af skolens lærere. </w:t>
      </w:r>
    </w:p>
    <w:p w:rsidR="00F54A37" w:rsidRDefault="00F54A37" w:rsidP="00F54A37">
      <w:pPr>
        <w:pStyle w:val="msolistparagraph0"/>
        <w:ind w:left="0"/>
        <w:rPr>
          <w:rFonts w:ascii="Garamond" w:hAnsi="Garamond"/>
          <w:sz w:val="23"/>
          <w:szCs w:val="23"/>
        </w:rPr>
      </w:pPr>
      <w:r>
        <w:rPr>
          <w:rFonts w:ascii="Garamond" w:hAnsi="Garamond"/>
          <w:sz w:val="23"/>
          <w:szCs w:val="23"/>
        </w:rPr>
        <w:t xml:space="preserve">Matematik har dermed også status som et almendannende fag, og at eleverne forlader skolen med relevante matematiske kompetencer er centralt for at de kan begå sig som medborgere i samfundet og på arbejdspladsen. </w:t>
      </w:r>
    </w:p>
    <w:p w:rsidR="009121D4" w:rsidRDefault="009121D4" w:rsidP="00F54A37">
      <w:pPr>
        <w:pStyle w:val="msolistparagraph0"/>
        <w:ind w:left="0"/>
        <w:rPr>
          <w:rFonts w:ascii="Garamond" w:hAnsi="Garamond"/>
          <w:sz w:val="23"/>
          <w:szCs w:val="23"/>
        </w:rPr>
      </w:pPr>
    </w:p>
    <w:p w:rsidR="009121D4" w:rsidRPr="009121D4" w:rsidRDefault="009121D4" w:rsidP="00F54A37">
      <w:pPr>
        <w:pStyle w:val="msolistparagraph0"/>
        <w:ind w:left="0"/>
        <w:rPr>
          <w:rFonts w:ascii="Garamond" w:hAnsi="Garamond"/>
          <w:sz w:val="23"/>
          <w:szCs w:val="23"/>
        </w:rPr>
      </w:pPr>
      <w:r>
        <w:rPr>
          <w:rFonts w:ascii="Garamond" w:hAnsi="Garamond"/>
          <w:sz w:val="23"/>
          <w:szCs w:val="23"/>
        </w:rPr>
        <w:t xml:space="preserve">Det væsentlige for matematikprojektets succes bliver, at vi i lighed med </w:t>
      </w:r>
      <w:r>
        <w:rPr>
          <w:rFonts w:ascii="Garamond" w:hAnsi="Garamond"/>
          <w:i/>
          <w:sz w:val="23"/>
          <w:szCs w:val="23"/>
        </w:rPr>
        <w:t>Vi læser for livet</w:t>
      </w:r>
      <w:r>
        <w:rPr>
          <w:rFonts w:ascii="Garamond" w:hAnsi="Garamond"/>
          <w:sz w:val="23"/>
          <w:szCs w:val="23"/>
        </w:rPr>
        <w:t xml:space="preserve"> bliver i stand til at sætte en målrettet indsats i gang, der giver mening for de udfordringer som lærerne har på området. Det kræver ledelsesmæssig o</w:t>
      </w:r>
      <w:r>
        <w:rPr>
          <w:rFonts w:ascii="Garamond" w:hAnsi="Garamond"/>
          <w:sz w:val="23"/>
          <w:szCs w:val="23"/>
        </w:rPr>
        <w:t>p</w:t>
      </w:r>
      <w:r>
        <w:rPr>
          <w:rFonts w:ascii="Garamond" w:hAnsi="Garamond"/>
          <w:sz w:val="23"/>
          <w:szCs w:val="23"/>
        </w:rPr>
        <w:t>bakning på alle niveauer og ejerskab til projektet hos de involverede lærere.</w:t>
      </w:r>
    </w:p>
    <w:p w:rsidR="007004F7" w:rsidRDefault="007004F7" w:rsidP="007004F7">
      <w:pPr>
        <w:pStyle w:val="Overskrift2"/>
        <w:rPr>
          <w:rFonts w:eastAsia="Calibri"/>
          <w:lang w:eastAsia="en-US"/>
        </w:rPr>
      </w:pPr>
      <w:r>
        <w:rPr>
          <w:rFonts w:eastAsia="Calibri"/>
          <w:lang w:eastAsia="en-US"/>
        </w:rPr>
        <w:t>IT og digitalisering</w:t>
      </w:r>
    </w:p>
    <w:p w:rsidR="00477B82" w:rsidRDefault="00113E77" w:rsidP="00113E77">
      <w:pPr>
        <w:autoSpaceDE w:val="0"/>
        <w:autoSpaceDN w:val="0"/>
        <w:adjustRightInd w:val="0"/>
        <w:rPr>
          <w:rFonts w:cs="Garamond"/>
          <w:szCs w:val="23"/>
        </w:rPr>
      </w:pPr>
      <w:r>
        <w:rPr>
          <w:rFonts w:eastAsia="Calibri"/>
          <w:szCs w:val="23"/>
          <w:lang w:eastAsia="en-US"/>
        </w:rPr>
        <w:t xml:space="preserve">Et af de områder, hvor der er behov for en struktureret indsats er brugen af digitale læremidler. </w:t>
      </w:r>
      <w:r>
        <w:rPr>
          <w:rFonts w:cs="Garamond"/>
          <w:szCs w:val="23"/>
        </w:rPr>
        <w:t>Der har de seneste år været stor fokus på indkøb af elektr</w:t>
      </w:r>
      <w:r>
        <w:rPr>
          <w:rFonts w:cs="Garamond"/>
          <w:szCs w:val="23"/>
        </w:rPr>
        <w:t>o</w:t>
      </w:r>
      <w:r>
        <w:rPr>
          <w:rFonts w:cs="Garamond"/>
          <w:szCs w:val="23"/>
        </w:rPr>
        <w:t xml:space="preserve">niske tavler, bærbare </w:t>
      </w:r>
      <w:proofErr w:type="spellStart"/>
      <w:r>
        <w:rPr>
          <w:rFonts w:cs="Garamond"/>
          <w:szCs w:val="23"/>
        </w:rPr>
        <w:t>pc’ere</w:t>
      </w:r>
      <w:proofErr w:type="spellEnd"/>
      <w:r>
        <w:rPr>
          <w:rFonts w:cs="Garamond"/>
          <w:szCs w:val="23"/>
        </w:rPr>
        <w:t xml:space="preserve">, </w:t>
      </w:r>
      <w:proofErr w:type="spellStart"/>
      <w:r>
        <w:rPr>
          <w:rFonts w:cs="Garamond"/>
          <w:szCs w:val="23"/>
        </w:rPr>
        <w:t>iPads</w:t>
      </w:r>
      <w:proofErr w:type="spellEnd"/>
      <w:r>
        <w:rPr>
          <w:rFonts w:cs="Garamond"/>
          <w:szCs w:val="23"/>
        </w:rPr>
        <w:t xml:space="preserve"> mv. samt på de generelle it færdigheder i undervisningen. Nu er tiden kommet til at rette opmærksomheden og resurse</w:t>
      </w:r>
      <w:r>
        <w:rPr>
          <w:rFonts w:cs="Garamond"/>
          <w:szCs w:val="23"/>
        </w:rPr>
        <w:t>r</w:t>
      </w:r>
      <w:r>
        <w:rPr>
          <w:rFonts w:cs="Garamond"/>
          <w:szCs w:val="23"/>
        </w:rPr>
        <w:t>ne mod skolens fag og brugen af it i fagene. Inddragelse af it er ikke et mål i sig selv. Det centrale er, hvordan digitale læringsmidler kan medvirke til at styrke undervisningen. Der skal altså fokus på målene for undervisningen, ikke alene på midlerne. Der er behov for at få udviklet en it-didaktik for de enkelte fag, hvis it skal bidrage til bedre læring for eleverne.</w:t>
      </w:r>
    </w:p>
    <w:p w:rsidR="00113E77" w:rsidRDefault="00113E77" w:rsidP="00113E77">
      <w:pPr>
        <w:autoSpaceDE w:val="0"/>
        <w:autoSpaceDN w:val="0"/>
        <w:adjustRightInd w:val="0"/>
        <w:rPr>
          <w:rFonts w:cs="Garamond"/>
          <w:szCs w:val="23"/>
        </w:rPr>
      </w:pPr>
    </w:p>
    <w:p w:rsidR="00113E77" w:rsidRPr="00113E77" w:rsidRDefault="00113E77" w:rsidP="00113E77">
      <w:pPr>
        <w:autoSpaceDE w:val="0"/>
        <w:autoSpaceDN w:val="0"/>
        <w:adjustRightInd w:val="0"/>
        <w:rPr>
          <w:rFonts w:eastAsia="Calibri"/>
          <w:szCs w:val="23"/>
          <w:lang w:eastAsia="en-US"/>
        </w:rPr>
      </w:pPr>
      <w:r w:rsidRPr="00113E77">
        <w:rPr>
          <w:rFonts w:eastAsia="Calibri"/>
          <w:szCs w:val="23"/>
          <w:lang w:eastAsia="en-US"/>
        </w:rPr>
        <w:t>I debatten om digitalisering nævnes mulighederne for effektivisering ofte. Det</w:t>
      </w:r>
    </w:p>
    <w:p w:rsidR="00113E77" w:rsidRDefault="00113E77" w:rsidP="00844DF1">
      <w:pPr>
        <w:autoSpaceDE w:val="0"/>
        <w:autoSpaceDN w:val="0"/>
        <w:adjustRightInd w:val="0"/>
        <w:rPr>
          <w:rFonts w:eastAsia="Calibri"/>
          <w:szCs w:val="23"/>
          <w:lang w:eastAsia="en-US"/>
        </w:rPr>
      </w:pPr>
      <w:r w:rsidRPr="00113E77">
        <w:rPr>
          <w:rFonts w:eastAsia="Calibri"/>
          <w:szCs w:val="23"/>
          <w:lang w:eastAsia="en-US"/>
        </w:rPr>
        <w:lastRenderedPageBreak/>
        <w:t xml:space="preserve">er foreningens opfattelse, at en kvalificeret brug af it kan skabe en </w:t>
      </w:r>
      <w:r w:rsidR="00844DF1">
        <w:rPr>
          <w:rFonts w:eastAsia="Calibri"/>
          <w:szCs w:val="23"/>
          <w:lang w:eastAsia="en-US"/>
        </w:rPr>
        <w:t>højnelse af kvalitetens i undervisningen</w:t>
      </w:r>
      <w:r w:rsidRPr="00113E77">
        <w:rPr>
          <w:rFonts w:eastAsia="Calibri"/>
          <w:szCs w:val="23"/>
          <w:lang w:eastAsia="en-US"/>
        </w:rPr>
        <w:t xml:space="preserve">. </w:t>
      </w:r>
    </w:p>
    <w:p w:rsidR="000E68FA" w:rsidRDefault="000E68FA" w:rsidP="000E68FA">
      <w:pPr>
        <w:pStyle w:val="Overskrift2"/>
        <w:rPr>
          <w:rFonts w:eastAsia="Calibri"/>
          <w:lang w:eastAsia="en-US"/>
        </w:rPr>
      </w:pPr>
      <w:r>
        <w:rPr>
          <w:rFonts w:eastAsia="Calibri"/>
          <w:lang w:eastAsia="en-US"/>
        </w:rPr>
        <w:t>Afslutning</w:t>
      </w:r>
    </w:p>
    <w:p w:rsidR="000E68FA" w:rsidRDefault="000E68FA" w:rsidP="000E68FA">
      <w:pPr>
        <w:rPr>
          <w:rFonts w:eastAsia="Calibri"/>
          <w:lang w:eastAsia="en-US"/>
        </w:rPr>
      </w:pPr>
      <w:r w:rsidRPr="000E68FA">
        <w:rPr>
          <w:rFonts w:eastAsia="Calibri"/>
          <w:lang w:eastAsia="en-US"/>
        </w:rPr>
        <w:t xml:space="preserve">Folkeskolen er et spejl af samfundet. Valget af skoleform er afgørende for, hvilket samfund man udvikler i fremtiden. Målet er et samfund, hvor alle børn har lige muligheder, hvor alle børn møder hinanden i et forpligtende fællesskab, og hvor alle børn hver dag udfordres optimalt. </w:t>
      </w:r>
    </w:p>
    <w:p w:rsidR="000E68FA" w:rsidRDefault="000E68FA" w:rsidP="000E68FA">
      <w:pPr>
        <w:rPr>
          <w:rFonts w:eastAsia="Calibri"/>
          <w:lang w:eastAsia="en-US"/>
        </w:rPr>
      </w:pPr>
    </w:p>
    <w:p w:rsidR="000E68FA" w:rsidRDefault="000E68FA" w:rsidP="000E68FA">
      <w:pPr>
        <w:rPr>
          <w:rFonts w:eastAsia="Calibri"/>
          <w:lang w:eastAsia="en-US"/>
        </w:rPr>
      </w:pPr>
      <w:r w:rsidRPr="000E68FA">
        <w:rPr>
          <w:rFonts w:eastAsia="Calibri"/>
          <w:lang w:eastAsia="en-US"/>
        </w:rPr>
        <w:t>Alle elever skal forlade folkeskolen som livsduelige og handlekraftige menn</w:t>
      </w:r>
      <w:r w:rsidRPr="000E68FA">
        <w:rPr>
          <w:rFonts w:eastAsia="Calibri"/>
          <w:lang w:eastAsia="en-US"/>
        </w:rPr>
        <w:t>e</w:t>
      </w:r>
      <w:r w:rsidRPr="000E68FA">
        <w:rPr>
          <w:rFonts w:eastAsia="Calibri"/>
          <w:lang w:eastAsia="en-US"/>
        </w:rPr>
        <w:t xml:space="preserve">sker med tillid til og viden om egne muligheder. </w:t>
      </w:r>
    </w:p>
    <w:p w:rsidR="000E68FA" w:rsidRPr="000E68FA" w:rsidRDefault="000E68FA" w:rsidP="000E68FA">
      <w:pPr>
        <w:rPr>
          <w:rFonts w:eastAsia="Calibri"/>
          <w:lang w:eastAsia="en-US"/>
        </w:rPr>
      </w:pPr>
    </w:p>
    <w:p w:rsidR="000E68FA" w:rsidRPr="000E68FA" w:rsidRDefault="000E68FA" w:rsidP="000E68FA">
      <w:pPr>
        <w:rPr>
          <w:rFonts w:eastAsia="Calibri"/>
          <w:lang w:eastAsia="en-US"/>
        </w:rPr>
      </w:pPr>
      <w:r>
        <w:rPr>
          <w:rFonts w:eastAsia="Calibri"/>
          <w:lang w:eastAsia="en-US"/>
        </w:rPr>
        <w:t xml:space="preserve">Regeringen har med sit oplæg </w:t>
      </w:r>
      <w:r w:rsidRPr="000E68FA">
        <w:rPr>
          <w:rFonts w:eastAsia="Calibri"/>
          <w:i/>
          <w:lang w:eastAsia="en-US"/>
        </w:rPr>
        <w:t>Gør en god skole bedre – et fagligt løft af folkeskolen</w:t>
      </w:r>
      <w:r>
        <w:rPr>
          <w:rFonts w:eastAsia="Calibri"/>
          <w:i/>
          <w:lang w:eastAsia="en-US"/>
        </w:rPr>
        <w:t xml:space="preserve"> </w:t>
      </w:r>
      <w:r>
        <w:rPr>
          <w:rFonts w:eastAsia="Calibri"/>
          <w:lang w:eastAsia="en-US"/>
        </w:rPr>
        <w:t>lagt ramme og retning for den politiske vision med folkeskolen</w:t>
      </w:r>
      <w:r w:rsidRPr="000E68FA">
        <w:rPr>
          <w:rFonts w:eastAsia="Calibri"/>
          <w:lang w:eastAsia="en-US"/>
        </w:rPr>
        <w:t xml:space="preserve"> Der er ingen lette veje til at opfylde visionen, men vi ved fra den pædagogiske forskning, hvad der kan hjælpe den på vej. Ved en kombination af de rette rammer og en forpli</w:t>
      </w:r>
      <w:r w:rsidRPr="000E68FA">
        <w:rPr>
          <w:rFonts w:eastAsia="Calibri"/>
          <w:lang w:eastAsia="en-US"/>
        </w:rPr>
        <w:t>g</w:t>
      </w:r>
      <w:r w:rsidRPr="000E68FA">
        <w:rPr>
          <w:rFonts w:eastAsia="Calibri"/>
          <w:lang w:eastAsia="en-US"/>
        </w:rPr>
        <w:t>tende indsats, vil vi i fællesskab kunne komme langt med at skabe en ny start for en ambitiøs folkeskole.</w:t>
      </w:r>
      <w:r>
        <w:rPr>
          <w:rFonts w:eastAsia="Calibri"/>
          <w:lang w:eastAsia="en-US"/>
        </w:rPr>
        <w:t xml:space="preserve"> Det medvirker Danmarks Lærerforening gerne til</w:t>
      </w:r>
      <w:r w:rsidR="00754467">
        <w:rPr>
          <w:rFonts w:eastAsia="Calibri"/>
          <w:lang w:eastAsia="en-US"/>
        </w:rPr>
        <w:t>.</w:t>
      </w:r>
    </w:p>
    <w:p w:rsidR="000E68FA" w:rsidRPr="000E68FA" w:rsidRDefault="000E68FA" w:rsidP="000E68FA">
      <w:pPr>
        <w:rPr>
          <w:rFonts w:eastAsia="Calibri"/>
          <w:lang w:eastAsia="en-US"/>
        </w:rPr>
      </w:pPr>
    </w:p>
    <w:sectPr w:rsidR="000E68FA" w:rsidRPr="000E68FA" w:rsidSect="00EA4912">
      <w:headerReference w:type="even" r:id="rId10"/>
      <w:headerReference w:type="default" r:id="rId11"/>
      <w:footerReference w:type="even" r:id="rId12"/>
      <w:footerReference w:type="default" r:id="rId13"/>
      <w:headerReference w:type="first" r:id="rId14"/>
      <w:footerReference w:type="first" r:id="rId15"/>
      <w:pgSz w:w="11906" w:h="16838" w:code="9"/>
      <w:pgMar w:top="2438" w:right="3402"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DD" w:rsidRDefault="004C46DD">
      <w:r>
        <w:separator/>
      </w:r>
    </w:p>
  </w:endnote>
  <w:endnote w:type="continuationSeparator" w:id="0">
    <w:p w:rsidR="004C46DD" w:rsidRDefault="004C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36" w:rsidRDefault="00737F3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655"/>
      <w:gridCol w:w="2381"/>
    </w:tblGrid>
    <w:tr w:rsidR="005F3A36" w:rsidTr="009805A5">
      <w:tc>
        <w:tcPr>
          <w:tcW w:w="7655" w:type="dxa"/>
          <w:shd w:val="clear" w:color="auto" w:fill="auto"/>
        </w:tcPr>
        <w:p w:rsidR="005F3A36" w:rsidRDefault="005F3A36">
          <w:pPr>
            <w:pStyle w:val="Sidefod"/>
          </w:pPr>
        </w:p>
      </w:tc>
      <w:tc>
        <w:tcPr>
          <w:tcW w:w="2381" w:type="dxa"/>
          <w:shd w:val="clear" w:color="auto" w:fill="auto"/>
        </w:tcPr>
        <w:p w:rsidR="005F3A36" w:rsidRDefault="005F3A36">
          <w:pPr>
            <w:pStyle w:val="Sidefod"/>
          </w:pPr>
          <w:r>
            <w:t xml:space="preserve">Side </w:t>
          </w:r>
          <w:r>
            <w:fldChar w:fldCharType="begin"/>
          </w:r>
          <w:r>
            <w:instrText xml:space="preserve"> PAGE </w:instrText>
          </w:r>
          <w:r>
            <w:fldChar w:fldCharType="separate"/>
          </w:r>
          <w:r w:rsidR="00737F36">
            <w:rPr>
              <w:noProof/>
            </w:rPr>
            <w:t>1</w:t>
          </w:r>
          <w:r>
            <w:fldChar w:fldCharType="end"/>
          </w:r>
          <w:r>
            <w:t xml:space="preserve"> af </w:t>
          </w:r>
          <w:fldSimple w:instr=" NUMPAGES ">
            <w:r w:rsidR="00737F36">
              <w:rPr>
                <w:noProof/>
              </w:rPr>
              <w:t>7</w:t>
            </w:r>
          </w:fldSimple>
        </w:p>
      </w:tc>
    </w:tr>
  </w:tbl>
  <w:p w:rsidR="005F3A36" w:rsidRDefault="005F3A3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36" w:rsidRDefault="00737F3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DD" w:rsidRDefault="004C46DD">
      <w:r>
        <w:separator/>
      </w:r>
    </w:p>
  </w:footnote>
  <w:footnote w:type="continuationSeparator" w:id="0">
    <w:p w:rsidR="004C46DD" w:rsidRDefault="004C46DD">
      <w:r>
        <w:continuationSeparator/>
      </w:r>
    </w:p>
  </w:footnote>
  <w:footnote w:id="1">
    <w:p w:rsidR="005F3A36" w:rsidRDefault="005F3A36">
      <w:pPr>
        <w:pStyle w:val="Fodnotetekst"/>
      </w:pPr>
      <w:r>
        <w:rPr>
          <w:rStyle w:val="Fodnotehenvisning"/>
        </w:rPr>
        <w:footnoteRef/>
      </w:r>
      <w:r>
        <w:t xml:space="preserve"> Danmarks Lærerforening ser med tilfredshed, at regeringen har lånt titlen på Danmarks Lærerforenings skolepolitiske oplæg fra 2004</w:t>
      </w:r>
    </w:p>
  </w:footnote>
  <w:footnote w:id="2">
    <w:p w:rsidR="005F3A36" w:rsidRPr="00FD4436" w:rsidRDefault="005F3A36" w:rsidP="00FD4436">
      <w:pPr>
        <w:pStyle w:val="Fodnotetekst"/>
        <w:rPr>
          <w:lang w:val="en-US"/>
        </w:rPr>
      </w:pPr>
      <w:r>
        <w:rPr>
          <w:rStyle w:val="Fodnotehenvisning"/>
        </w:rPr>
        <w:footnoteRef/>
      </w:r>
      <w:r w:rsidRPr="00FD4436">
        <w:rPr>
          <w:lang w:val="en-US"/>
        </w:rPr>
        <w:t xml:space="preserve"> Dansk </w:t>
      </w:r>
      <w:proofErr w:type="spellStart"/>
      <w:r w:rsidRPr="00FD4436">
        <w:rPr>
          <w:lang w:val="en-US"/>
        </w:rPr>
        <w:t>Clearinghuse</w:t>
      </w:r>
      <w:proofErr w:type="spellEnd"/>
      <w:r w:rsidRPr="00FD4436">
        <w:rPr>
          <w:lang w:val="en-US"/>
        </w:rPr>
        <w:t xml:space="preserve"> for </w:t>
      </w:r>
      <w:proofErr w:type="spellStart"/>
      <w:r w:rsidRPr="00FD4436">
        <w:rPr>
          <w:lang w:val="en-US"/>
        </w:rPr>
        <w:t>Uddannelsesforskning</w:t>
      </w:r>
      <w:proofErr w:type="spellEnd"/>
      <w:r w:rsidRPr="00FD4436">
        <w:rPr>
          <w:lang w:val="en-US"/>
        </w:rPr>
        <w:t xml:space="preserve">: </w:t>
      </w:r>
      <w:r w:rsidRPr="00FD4436">
        <w:rPr>
          <w:i/>
          <w:lang w:val="en-US"/>
        </w:rPr>
        <w:t xml:space="preserve">Input, </w:t>
      </w:r>
      <w:proofErr w:type="spellStart"/>
      <w:r w:rsidRPr="00FD4436">
        <w:rPr>
          <w:i/>
          <w:lang w:val="en-US"/>
        </w:rPr>
        <w:t>Proccess</w:t>
      </w:r>
      <w:proofErr w:type="spellEnd"/>
      <w:r w:rsidRPr="00FD4436">
        <w:rPr>
          <w:i/>
          <w:lang w:val="en-US"/>
        </w:rPr>
        <w:t xml:space="preserve"> and Learning </w:t>
      </w:r>
      <w:proofErr w:type="spellStart"/>
      <w:r w:rsidRPr="00FD4436">
        <w:rPr>
          <w:i/>
          <w:lang w:val="en-US"/>
        </w:rPr>
        <w:t>i</w:t>
      </w:r>
      <w:proofErr w:type="spellEnd"/>
      <w:r w:rsidRPr="00FD4436">
        <w:rPr>
          <w:i/>
          <w:lang w:val="en-US"/>
        </w:rPr>
        <w:t xml:space="preserve"> primary and lower secondary schools, </w:t>
      </w:r>
      <w:r>
        <w:rPr>
          <w:lang w:val="en-US"/>
        </w:rPr>
        <w:t xml:space="preserve">DPU – Aarhus </w:t>
      </w:r>
      <w:proofErr w:type="spellStart"/>
      <w:r>
        <w:rPr>
          <w:lang w:val="en-US"/>
        </w:rPr>
        <w:t>Universitet</w:t>
      </w:r>
      <w:proofErr w:type="spellEnd"/>
      <w:r>
        <w:rPr>
          <w:lang w:val="en-US"/>
        </w:rPr>
        <w:t xml:space="preserve"> 2011</w:t>
      </w:r>
    </w:p>
  </w:footnote>
  <w:footnote w:id="3">
    <w:p w:rsidR="005F3A36" w:rsidRPr="00EB5B2F" w:rsidRDefault="005F3A36">
      <w:pPr>
        <w:pStyle w:val="Fodnotetekst"/>
        <w:rPr>
          <w:lang w:val="en-US"/>
        </w:rPr>
      </w:pPr>
      <w:r>
        <w:rPr>
          <w:rStyle w:val="Fodnotehenvisning"/>
        </w:rPr>
        <w:footnoteRef/>
      </w:r>
      <w:r w:rsidRPr="00EB5B2F">
        <w:rPr>
          <w:lang w:val="en-US"/>
        </w:rPr>
        <w:t xml:space="preserve"> John Hattie</w:t>
      </w:r>
      <w:r>
        <w:rPr>
          <w:lang w:val="en-US"/>
        </w:rPr>
        <w:t>:</w:t>
      </w:r>
      <w:r w:rsidRPr="00EB5B2F">
        <w:rPr>
          <w:lang w:val="en-US"/>
        </w:rPr>
        <w:t xml:space="preserve"> </w:t>
      </w:r>
      <w:r w:rsidRPr="00EB5B2F">
        <w:rPr>
          <w:i/>
          <w:lang w:val="en-GB"/>
        </w:rPr>
        <w:t>Visible Learning: A Synthesis of over 800 Meta-Analyses Relating to Achievement</w:t>
      </w:r>
      <w:r>
        <w:rPr>
          <w:i/>
          <w:lang w:val="en-GB"/>
        </w:rPr>
        <w:t xml:space="preserve">, </w:t>
      </w:r>
      <w:r w:rsidRPr="00EB5B2F">
        <w:rPr>
          <w:lang w:val="en-GB"/>
        </w:rPr>
        <w:t xml:space="preserve"> </w:t>
      </w:r>
      <w:r w:rsidRPr="00EB5B2F">
        <w:rPr>
          <w:lang w:val="en-US"/>
        </w:rPr>
        <w:t xml:space="preserve"> Auckland University</w:t>
      </w:r>
      <w:r>
        <w:rPr>
          <w:lang w:val="en-US"/>
        </w:rPr>
        <w:t xml:space="preserve"> 2009</w:t>
      </w:r>
    </w:p>
  </w:footnote>
  <w:footnote w:id="4">
    <w:p w:rsidR="005F3A36" w:rsidRDefault="005F3A36" w:rsidP="00CB7137">
      <w:pPr>
        <w:pStyle w:val="Fodnotetekst"/>
      </w:pPr>
      <w:r>
        <w:rPr>
          <w:rStyle w:val="Fodnotehenvisning"/>
        </w:rPr>
        <w:footnoteRef/>
      </w:r>
      <w:r>
        <w:t xml:space="preserve"> Professor </w:t>
      </w:r>
      <w:r w:rsidRPr="00EB55BD">
        <w:t xml:space="preserve">Bo </w:t>
      </w:r>
      <w:proofErr w:type="spellStart"/>
      <w:r w:rsidRPr="00EB55BD">
        <w:t>Vinnerljung</w:t>
      </w:r>
      <w:proofErr w:type="spellEnd"/>
      <w:r>
        <w:t>:</w:t>
      </w:r>
      <w:r w:rsidRPr="00EB55BD">
        <w:t xml:space="preserve"> </w:t>
      </w:r>
      <w:r w:rsidRPr="004134B3">
        <w:rPr>
          <w:i/>
        </w:rPr>
        <w:t>Om samfundets ansvar for anbragte børn</w:t>
      </w:r>
      <w:r>
        <w:rPr>
          <w:i/>
        </w:rPr>
        <w:t>,</w:t>
      </w:r>
      <w:r w:rsidRPr="00EB55BD">
        <w:t xml:space="preserve"> Stockholms Universitet</w:t>
      </w:r>
      <w:r>
        <w:t>, 2011</w:t>
      </w:r>
    </w:p>
  </w:footnote>
  <w:footnote w:id="5">
    <w:p w:rsidR="005F3A36" w:rsidRPr="00CE7229" w:rsidRDefault="005F3A36" w:rsidP="00CE7229">
      <w:pPr>
        <w:pStyle w:val="Fodnotetekst"/>
      </w:pPr>
      <w:r>
        <w:rPr>
          <w:rStyle w:val="Fodnotehenvisning"/>
        </w:rPr>
        <w:footnoteRef/>
      </w:r>
      <w:r>
        <w:t xml:space="preserve"> Rambøll: </w:t>
      </w:r>
      <w:r w:rsidRPr="00CE7229">
        <w:rPr>
          <w:i/>
        </w:rPr>
        <w:t>Evaluering af heldagsskoler</w:t>
      </w:r>
      <w:r>
        <w:rPr>
          <w:i/>
        </w:rPr>
        <w:t xml:space="preserve">, </w:t>
      </w:r>
      <w:r>
        <w:t>Ministeriet for Børn og Undervisning, 2012</w:t>
      </w:r>
    </w:p>
  </w:footnote>
  <w:footnote w:id="6">
    <w:p w:rsidR="005F3A36" w:rsidRDefault="005F3A36" w:rsidP="005F3A36">
      <w:pPr>
        <w:pStyle w:val="Fodnotetekst"/>
      </w:pPr>
      <w:r>
        <w:rPr>
          <w:rStyle w:val="Fodnotehenvisning"/>
        </w:rPr>
        <w:footnoteRef/>
      </w:r>
      <w:r>
        <w:t xml:space="preserve"> </w:t>
      </w:r>
      <w:r w:rsidRPr="004134B3">
        <w:rPr>
          <w:i/>
        </w:rPr>
        <w:t>Undersøgelse af linjefagsdækningen</w:t>
      </w:r>
      <w:r>
        <w:t>, © UNI•C 24. juni 2009</w:t>
      </w:r>
    </w:p>
  </w:footnote>
  <w:footnote w:id="7">
    <w:p w:rsidR="007F7CEB" w:rsidRPr="00893C61" w:rsidRDefault="007F7CEB" w:rsidP="007F7CEB">
      <w:pPr>
        <w:pStyle w:val="Fodnotetekst"/>
        <w:rPr>
          <w:lang w:val="en-US"/>
        </w:rPr>
      </w:pPr>
      <w:r>
        <w:rPr>
          <w:rStyle w:val="Fodnotehenvisning"/>
        </w:rPr>
        <w:footnoteRef/>
      </w:r>
      <w:r w:rsidRPr="00893C61">
        <w:rPr>
          <w:lang w:val="en-US"/>
        </w:rPr>
        <w:t xml:space="preserve"> Darling-Hammond and </w:t>
      </w:r>
      <w:proofErr w:type="spellStart"/>
      <w:r w:rsidRPr="00893C61">
        <w:rPr>
          <w:lang w:val="en-US"/>
        </w:rPr>
        <w:t>Brasford</w:t>
      </w:r>
      <w:proofErr w:type="spellEnd"/>
      <w:r w:rsidRPr="00893C61">
        <w:rPr>
          <w:lang w:val="en-US"/>
        </w:rPr>
        <w:t xml:space="preserve">: </w:t>
      </w:r>
      <w:r w:rsidRPr="004134B3">
        <w:rPr>
          <w:i/>
          <w:lang w:val="en-US"/>
        </w:rPr>
        <w:t>Preparing Teachers for a Changing World: What Teachers Should Learn and Be Able to Do</w:t>
      </w:r>
      <w:r w:rsidRPr="00893C61">
        <w:rPr>
          <w:lang w:val="en-US"/>
        </w:rPr>
        <w:t>, 2005</w:t>
      </w:r>
    </w:p>
  </w:footnote>
  <w:footnote w:id="8">
    <w:p w:rsidR="007F7CEB" w:rsidRPr="005D1B67" w:rsidRDefault="007F7CEB" w:rsidP="007F7CEB">
      <w:pPr>
        <w:pStyle w:val="Fodnotetekst"/>
      </w:pPr>
      <w:r>
        <w:rPr>
          <w:rStyle w:val="Fodnotehenvisning"/>
        </w:rPr>
        <w:footnoteRef/>
      </w:r>
      <w:r>
        <w:t xml:space="preserve"> Dansk Clearinghouse for uddannelsesforskning: </w:t>
      </w:r>
      <w:r w:rsidRPr="005D1B67">
        <w:rPr>
          <w:i/>
        </w:rPr>
        <w:t>Lærerkompetencer og elevers læring i førskole og skole', som Clearinghouse udarbejdede sidste år</w:t>
      </w:r>
      <w:r>
        <w:t xml:space="preserve"> Aarhus Universitet, 2009</w:t>
      </w:r>
    </w:p>
  </w:footnote>
  <w:footnote w:id="9">
    <w:p w:rsidR="00477B82" w:rsidRDefault="00477B82" w:rsidP="00477B82">
      <w:pPr>
        <w:pStyle w:val="Fodnotetekst"/>
      </w:pPr>
      <w:r>
        <w:rPr>
          <w:rStyle w:val="Fodnotehenvisning"/>
        </w:rPr>
        <w:footnoteRef/>
      </w:r>
      <w:r>
        <w:t xml:space="preserve"> Endnu ikke offentliggjort evaluering fra Danmarks Evalueringsinstitut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36" w:rsidRDefault="00737F3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36" w:rsidRDefault="00737F36">
    <w:pPr>
      <w:pStyle w:val="Sidehoved"/>
    </w:pPr>
    <w:r>
      <w:t>f</w:t>
    </w:r>
    <w:bookmarkStart w:id="3" w:name="_GoBack"/>
    <w:bookmarkEnd w:id="3"/>
    <w:r>
      <w:t>olkeskolen.dk december 2012</w:t>
    </w:r>
  </w:p>
  <w:p w:rsidR="00737F36" w:rsidRDefault="00737F3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36" w:rsidRDefault="00737F3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39815A66"/>
    <w:multiLevelType w:val="hybridMultilevel"/>
    <w:tmpl w:val="3496BC88"/>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521D6F88"/>
    <w:multiLevelType w:val="hybridMultilevel"/>
    <w:tmpl w:val="25882F84"/>
    <w:lvl w:ilvl="0" w:tplc="0406000F">
      <w:start w:val="1"/>
      <w:numFmt w:val="decimal"/>
      <w:lvlText w:val="%1."/>
      <w:lvlJc w:val="left"/>
      <w:pPr>
        <w:ind w:left="900" w:hanging="360"/>
      </w:pPr>
    </w:lvl>
    <w:lvl w:ilvl="1" w:tplc="04060019" w:tentative="1">
      <w:start w:val="1"/>
      <w:numFmt w:val="lowerLetter"/>
      <w:lvlText w:val="%2."/>
      <w:lvlJc w:val="left"/>
      <w:pPr>
        <w:ind w:left="1620" w:hanging="360"/>
      </w:pPr>
    </w:lvl>
    <w:lvl w:ilvl="2" w:tplc="0406001B" w:tentative="1">
      <w:start w:val="1"/>
      <w:numFmt w:val="lowerRoman"/>
      <w:lvlText w:val="%3."/>
      <w:lvlJc w:val="right"/>
      <w:pPr>
        <w:ind w:left="2340" w:hanging="180"/>
      </w:pPr>
    </w:lvl>
    <w:lvl w:ilvl="3" w:tplc="0406000F" w:tentative="1">
      <w:start w:val="1"/>
      <w:numFmt w:val="decimal"/>
      <w:lvlText w:val="%4."/>
      <w:lvlJc w:val="left"/>
      <w:pPr>
        <w:ind w:left="3060" w:hanging="360"/>
      </w:pPr>
    </w:lvl>
    <w:lvl w:ilvl="4" w:tplc="04060019" w:tentative="1">
      <w:start w:val="1"/>
      <w:numFmt w:val="lowerLetter"/>
      <w:lvlText w:val="%5."/>
      <w:lvlJc w:val="left"/>
      <w:pPr>
        <w:ind w:left="3780" w:hanging="360"/>
      </w:pPr>
    </w:lvl>
    <w:lvl w:ilvl="5" w:tplc="0406001B" w:tentative="1">
      <w:start w:val="1"/>
      <w:numFmt w:val="lowerRoman"/>
      <w:lvlText w:val="%6."/>
      <w:lvlJc w:val="right"/>
      <w:pPr>
        <w:ind w:left="4500" w:hanging="180"/>
      </w:pPr>
    </w:lvl>
    <w:lvl w:ilvl="6" w:tplc="0406000F" w:tentative="1">
      <w:start w:val="1"/>
      <w:numFmt w:val="decimal"/>
      <w:lvlText w:val="%7."/>
      <w:lvlJc w:val="left"/>
      <w:pPr>
        <w:ind w:left="5220" w:hanging="360"/>
      </w:pPr>
    </w:lvl>
    <w:lvl w:ilvl="7" w:tplc="04060019" w:tentative="1">
      <w:start w:val="1"/>
      <w:numFmt w:val="lowerLetter"/>
      <w:lvlText w:val="%8."/>
      <w:lvlJc w:val="left"/>
      <w:pPr>
        <w:ind w:left="5940" w:hanging="360"/>
      </w:pPr>
    </w:lvl>
    <w:lvl w:ilvl="8" w:tplc="0406001B" w:tentative="1">
      <w:start w:val="1"/>
      <w:numFmt w:val="lowerRoman"/>
      <w:lvlText w:val="%9."/>
      <w:lvlJc w:val="right"/>
      <w:pPr>
        <w:ind w:left="6660" w:hanging="180"/>
      </w:pPr>
    </w:lvl>
  </w:abstractNum>
  <w:abstractNum w:abstractNumId="6">
    <w:nsid w:val="56902228"/>
    <w:multiLevelType w:val="hybridMultilevel"/>
    <w:tmpl w:val="25BE76B0"/>
    <w:lvl w:ilvl="0" w:tplc="6054E394">
      <w:start w:val="1"/>
      <w:numFmt w:val="bullet"/>
      <w:lvlText w:val=""/>
      <w:lvlJc w:val="left"/>
      <w:pPr>
        <w:tabs>
          <w:tab w:val="num" w:pos="360"/>
        </w:tabs>
        <w:ind w:left="709" w:hanging="709"/>
      </w:pPr>
      <w:rPr>
        <w:rFonts w:ascii="Symbol" w:hAnsi="Symbol" w:hint="default"/>
        <w:sz w:val="2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7E528B2"/>
    <w:multiLevelType w:val="hybridMultilevel"/>
    <w:tmpl w:val="E028F18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61DF7641"/>
    <w:multiLevelType w:val="hybridMultilevel"/>
    <w:tmpl w:val="685ACA9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7E1E2531"/>
    <w:multiLevelType w:val="hybridMultilevel"/>
    <w:tmpl w:val="9E021990"/>
    <w:lvl w:ilvl="0" w:tplc="7980A0DC">
      <w:start w:val="1"/>
      <w:numFmt w:val="none"/>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9"/>
  </w:num>
  <w:num w:numId="5">
    <w:abstractNumId w:val="0"/>
  </w:num>
  <w:num w:numId="6">
    <w:abstractNumId w:val="10"/>
  </w:num>
  <w:num w:numId="7">
    <w:abstractNumId w:val="1"/>
  </w:num>
  <w:num w:numId="8">
    <w:abstractNumId w:val="7"/>
  </w:num>
  <w:num w:numId="9">
    <w:abstractNumId w:val="6"/>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B7"/>
    <w:rsid w:val="00004E9F"/>
    <w:rsid w:val="0002685C"/>
    <w:rsid w:val="00086E03"/>
    <w:rsid w:val="00096000"/>
    <w:rsid w:val="000B409E"/>
    <w:rsid w:val="000E68FA"/>
    <w:rsid w:val="000F5EAB"/>
    <w:rsid w:val="00113E77"/>
    <w:rsid w:val="00125947"/>
    <w:rsid w:val="00140550"/>
    <w:rsid w:val="001A236F"/>
    <w:rsid w:val="001C7177"/>
    <w:rsid w:val="001D3D43"/>
    <w:rsid w:val="001F0510"/>
    <w:rsid w:val="00201B89"/>
    <w:rsid w:val="00214113"/>
    <w:rsid w:val="00236EA1"/>
    <w:rsid w:val="00276639"/>
    <w:rsid w:val="002F1D4D"/>
    <w:rsid w:val="00303E09"/>
    <w:rsid w:val="003B09E0"/>
    <w:rsid w:val="003E2D83"/>
    <w:rsid w:val="003E35E5"/>
    <w:rsid w:val="004250B1"/>
    <w:rsid w:val="00472928"/>
    <w:rsid w:val="00472B8C"/>
    <w:rsid w:val="00472CAC"/>
    <w:rsid w:val="00477B82"/>
    <w:rsid w:val="004C46DD"/>
    <w:rsid w:val="004D1858"/>
    <w:rsid w:val="004D57E5"/>
    <w:rsid w:val="004E0FB7"/>
    <w:rsid w:val="004F396E"/>
    <w:rsid w:val="00505057"/>
    <w:rsid w:val="00596918"/>
    <w:rsid w:val="005A0928"/>
    <w:rsid w:val="005F3A36"/>
    <w:rsid w:val="006131B1"/>
    <w:rsid w:val="00637054"/>
    <w:rsid w:val="006375EB"/>
    <w:rsid w:val="006572A4"/>
    <w:rsid w:val="0066061D"/>
    <w:rsid w:val="00674469"/>
    <w:rsid w:val="00687D5A"/>
    <w:rsid w:val="006B671D"/>
    <w:rsid w:val="006F6A3D"/>
    <w:rsid w:val="007004F7"/>
    <w:rsid w:val="00737F36"/>
    <w:rsid w:val="00754467"/>
    <w:rsid w:val="00787567"/>
    <w:rsid w:val="00793644"/>
    <w:rsid w:val="007B16C5"/>
    <w:rsid w:val="007F7CEB"/>
    <w:rsid w:val="00807621"/>
    <w:rsid w:val="00837F78"/>
    <w:rsid w:val="00841A21"/>
    <w:rsid w:val="00844DF1"/>
    <w:rsid w:val="00846A86"/>
    <w:rsid w:val="00857D97"/>
    <w:rsid w:val="00871290"/>
    <w:rsid w:val="00887233"/>
    <w:rsid w:val="00893DE3"/>
    <w:rsid w:val="00894C54"/>
    <w:rsid w:val="008F7D75"/>
    <w:rsid w:val="009121D4"/>
    <w:rsid w:val="0094135A"/>
    <w:rsid w:val="009474D8"/>
    <w:rsid w:val="00960660"/>
    <w:rsid w:val="009805A5"/>
    <w:rsid w:val="009817F8"/>
    <w:rsid w:val="009A3A52"/>
    <w:rsid w:val="00A00933"/>
    <w:rsid w:val="00A12D54"/>
    <w:rsid w:val="00A30B5C"/>
    <w:rsid w:val="00A53698"/>
    <w:rsid w:val="00A60E13"/>
    <w:rsid w:val="00A64EF2"/>
    <w:rsid w:val="00A83DC1"/>
    <w:rsid w:val="00AD09D5"/>
    <w:rsid w:val="00AE553A"/>
    <w:rsid w:val="00B37EF3"/>
    <w:rsid w:val="00B90EB2"/>
    <w:rsid w:val="00BA4F06"/>
    <w:rsid w:val="00BD59C4"/>
    <w:rsid w:val="00BE6100"/>
    <w:rsid w:val="00C03099"/>
    <w:rsid w:val="00C14C9D"/>
    <w:rsid w:val="00C23093"/>
    <w:rsid w:val="00C46E80"/>
    <w:rsid w:val="00C475CA"/>
    <w:rsid w:val="00C96DE8"/>
    <w:rsid w:val="00CB4DE8"/>
    <w:rsid w:val="00CB7137"/>
    <w:rsid w:val="00CD64E7"/>
    <w:rsid w:val="00CD7839"/>
    <w:rsid w:val="00CE7229"/>
    <w:rsid w:val="00D13531"/>
    <w:rsid w:val="00D17061"/>
    <w:rsid w:val="00D228BC"/>
    <w:rsid w:val="00D929BF"/>
    <w:rsid w:val="00DA4230"/>
    <w:rsid w:val="00DB194E"/>
    <w:rsid w:val="00DB51C8"/>
    <w:rsid w:val="00DC42C1"/>
    <w:rsid w:val="00DF642E"/>
    <w:rsid w:val="00E20947"/>
    <w:rsid w:val="00E26872"/>
    <w:rsid w:val="00E42C94"/>
    <w:rsid w:val="00E639A9"/>
    <w:rsid w:val="00E73992"/>
    <w:rsid w:val="00E92101"/>
    <w:rsid w:val="00EA1545"/>
    <w:rsid w:val="00EA24C0"/>
    <w:rsid w:val="00EA4912"/>
    <w:rsid w:val="00EA5C07"/>
    <w:rsid w:val="00EA5C71"/>
    <w:rsid w:val="00EB5B2F"/>
    <w:rsid w:val="00EB64F7"/>
    <w:rsid w:val="00EE43BF"/>
    <w:rsid w:val="00F10532"/>
    <w:rsid w:val="00F1126C"/>
    <w:rsid w:val="00F12AB9"/>
    <w:rsid w:val="00F257D7"/>
    <w:rsid w:val="00F455EE"/>
    <w:rsid w:val="00F54A37"/>
    <w:rsid w:val="00FD44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793644"/>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link w:val="SidehovedTegn"/>
    <w:uiPriority w:val="99"/>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FTalopstilling">
    <w:name w:val="DLF Talopstilling"/>
    <w:basedOn w:val="Normal"/>
    <w:rsid w:val="00CD7839"/>
    <w:pPr>
      <w:numPr>
        <w:numId w:val="5"/>
      </w:numPr>
    </w:pPr>
  </w:style>
  <w:style w:type="paragraph" w:styleId="Fodnotetekst">
    <w:name w:val="footnote text"/>
    <w:basedOn w:val="Normal"/>
    <w:link w:val="FodnotetekstTegn"/>
    <w:rsid w:val="00AD09D5"/>
    <w:rPr>
      <w:sz w:val="20"/>
      <w:szCs w:val="20"/>
    </w:rPr>
  </w:style>
  <w:style w:type="character" w:customStyle="1" w:styleId="FodnotetekstTegn">
    <w:name w:val="Fodnotetekst Tegn"/>
    <w:basedOn w:val="Standardskrifttypeiafsnit"/>
    <w:link w:val="Fodnotetekst"/>
    <w:rsid w:val="00AD09D5"/>
    <w:rPr>
      <w:rFonts w:ascii="Garamond" w:hAnsi="Garamond"/>
    </w:rPr>
  </w:style>
  <w:style w:type="character" w:styleId="Fodnotehenvisning">
    <w:name w:val="footnote reference"/>
    <w:basedOn w:val="Standardskrifttypeiafsnit"/>
    <w:rsid w:val="00AD09D5"/>
    <w:rPr>
      <w:vertAlign w:val="superscript"/>
    </w:rPr>
  </w:style>
  <w:style w:type="character" w:styleId="Strk">
    <w:name w:val="Strong"/>
    <w:basedOn w:val="Standardskrifttypeiafsnit"/>
    <w:qFormat/>
    <w:rsid w:val="00C96DE8"/>
    <w:rPr>
      <w:b/>
      <w:bCs/>
    </w:rPr>
  </w:style>
  <w:style w:type="character" w:styleId="Kommentarhenvisning">
    <w:name w:val="annotation reference"/>
    <w:basedOn w:val="Standardskrifttypeiafsnit"/>
    <w:rsid w:val="00837F78"/>
    <w:rPr>
      <w:sz w:val="16"/>
      <w:szCs w:val="16"/>
    </w:rPr>
  </w:style>
  <w:style w:type="paragraph" w:styleId="Kommentartekst">
    <w:name w:val="annotation text"/>
    <w:basedOn w:val="Normal"/>
    <w:link w:val="KommentartekstTegn"/>
    <w:rsid w:val="00837F78"/>
    <w:rPr>
      <w:sz w:val="20"/>
      <w:szCs w:val="20"/>
    </w:rPr>
  </w:style>
  <w:style w:type="character" w:customStyle="1" w:styleId="KommentartekstTegn">
    <w:name w:val="Kommentartekst Tegn"/>
    <w:basedOn w:val="Standardskrifttypeiafsnit"/>
    <w:link w:val="Kommentartekst"/>
    <w:rsid w:val="00837F78"/>
    <w:rPr>
      <w:rFonts w:ascii="Garamond" w:hAnsi="Garamond"/>
    </w:rPr>
  </w:style>
  <w:style w:type="paragraph" w:styleId="Kommentaremne">
    <w:name w:val="annotation subject"/>
    <w:basedOn w:val="Kommentartekst"/>
    <w:next w:val="Kommentartekst"/>
    <w:link w:val="KommentaremneTegn"/>
    <w:rsid w:val="00837F78"/>
    <w:rPr>
      <w:b/>
      <w:bCs/>
    </w:rPr>
  </w:style>
  <w:style w:type="character" w:customStyle="1" w:styleId="KommentaremneTegn">
    <w:name w:val="Kommentaremne Tegn"/>
    <w:basedOn w:val="KommentartekstTegn"/>
    <w:link w:val="Kommentaremne"/>
    <w:rsid w:val="00837F78"/>
    <w:rPr>
      <w:rFonts w:ascii="Garamond" w:hAnsi="Garamond"/>
      <w:b/>
      <w:bCs/>
    </w:rPr>
  </w:style>
  <w:style w:type="paragraph" w:styleId="Markeringsbobletekst">
    <w:name w:val="Balloon Text"/>
    <w:basedOn w:val="Normal"/>
    <w:link w:val="MarkeringsbobletekstTegn"/>
    <w:rsid w:val="00837F78"/>
    <w:rPr>
      <w:rFonts w:ascii="Tahoma" w:hAnsi="Tahoma" w:cs="Tahoma"/>
      <w:sz w:val="16"/>
      <w:szCs w:val="16"/>
    </w:rPr>
  </w:style>
  <w:style w:type="character" w:customStyle="1" w:styleId="MarkeringsbobletekstTegn">
    <w:name w:val="Markeringsbobletekst Tegn"/>
    <w:basedOn w:val="Standardskrifttypeiafsnit"/>
    <w:link w:val="Markeringsbobletekst"/>
    <w:rsid w:val="00837F78"/>
    <w:rPr>
      <w:rFonts w:ascii="Tahoma" w:hAnsi="Tahoma" w:cs="Tahoma"/>
      <w:sz w:val="16"/>
      <w:szCs w:val="16"/>
    </w:rPr>
  </w:style>
  <w:style w:type="paragraph" w:customStyle="1" w:styleId="msolistparagraph0">
    <w:name w:val="msolistparagraph"/>
    <w:basedOn w:val="Normal"/>
    <w:rsid w:val="00F54A37"/>
    <w:pPr>
      <w:ind w:left="720"/>
    </w:pPr>
    <w:rPr>
      <w:rFonts w:ascii="Calibri" w:eastAsia="Calibri" w:hAnsi="Calibri"/>
      <w:sz w:val="22"/>
      <w:szCs w:val="22"/>
    </w:rPr>
  </w:style>
  <w:style w:type="character" w:customStyle="1" w:styleId="SidehovedTegn">
    <w:name w:val="Sidehoved Tegn"/>
    <w:basedOn w:val="Standardskrifttypeiafsnit"/>
    <w:link w:val="Sidehoved"/>
    <w:uiPriority w:val="99"/>
    <w:rsid w:val="00737F36"/>
    <w:rPr>
      <w:rFonts w:ascii="Garamond" w:hAnsi="Garamond"/>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793644"/>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link w:val="SidehovedTegn"/>
    <w:uiPriority w:val="99"/>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FTalopstilling">
    <w:name w:val="DLF Talopstilling"/>
    <w:basedOn w:val="Normal"/>
    <w:rsid w:val="00CD7839"/>
    <w:pPr>
      <w:numPr>
        <w:numId w:val="5"/>
      </w:numPr>
    </w:pPr>
  </w:style>
  <w:style w:type="paragraph" w:styleId="Fodnotetekst">
    <w:name w:val="footnote text"/>
    <w:basedOn w:val="Normal"/>
    <w:link w:val="FodnotetekstTegn"/>
    <w:rsid w:val="00AD09D5"/>
    <w:rPr>
      <w:sz w:val="20"/>
      <w:szCs w:val="20"/>
    </w:rPr>
  </w:style>
  <w:style w:type="character" w:customStyle="1" w:styleId="FodnotetekstTegn">
    <w:name w:val="Fodnotetekst Tegn"/>
    <w:basedOn w:val="Standardskrifttypeiafsnit"/>
    <w:link w:val="Fodnotetekst"/>
    <w:rsid w:val="00AD09D5"/>
    <w:rPr>
      <w:rFonts w:ascii="Garamond" w:hAnsi="Garamond"/>
    </w:rPr>
  </w:style>
  <w:style w:type="character" w:styleId="Fodnotehenvisning">
    <w:name w:val="footnote reference"/>
    <w:basedOn w:val="Standardskrifttypeiafsnit"/>
    <w:rsid w:val="00AD09D5"/>
    <w:rPr>
      <w:vertAlign w:val="superscript"/>
    </w:rPr>
  </w:style>
  <w:style w:type="character" w:styleId="Strk">
    <w:name w:val="Strong"/>
    <w:basedOn w:val="Standardskrifttypeiafsnit"/>
    <w:qFormat/>
    <w:rsid w:val="00C96DE8"/>
    <w:rPr>
      <w:b/>
      <w:bCs/>
    </w:rPr>
  </w:style>
  <w:style w:type="character" w:styleId="Kommentarhenvisning">
    <w:name w:val="annotation reference"/>
    <w:basedOn w:val="Standardskrifttypeiafsnit"/>
    <w:rsid w:val="00837F78"/>
    <w:rPr>
      <w:sz w:val="16"/>
      <w:szCs w:val="16"/>
    </w:rPr>
  </w:style>
  <w:style w:type="paragraph" w:styleId="Kommentartekst">
    <w:name w:val="annotation text"/>
    <w:basedOn w:val="Normal"/>
    <w:link w:val="KommentartekstTegn"/>
    <w:rsid w:val="00837F78"/>
    <w:rPr>
      <w:sz w:val="20"/>
      <w:szCs w:val="20"/>
    </w:rPr>
  </w:style>
  <w:style w:type="character" w:customStyle="1" w:styleId="KommentartekstTegn">
    <w:name w:val="Kommentartekst Tegn"/>
    <w:basedOn w:val="Standardskrifttypeiafsnit"/>
    <w:link w:val="Kommentartekst"/>
    <w:rsid w:val="00837F78"/>
    <w:rPr>
      <w:rFonts w:ascii="Garamond" w:hAnsi="Garamond"/>
    </w:rPr>
  </w:style>
  <w:style w:type="paragraph" w:styleId="Kommentaremne">
    <w:name w:val="annotation subject"/>
    <w:basedOn w:val="Kommentartekst"/>
    <w:next w:val="Kommentartekst"/>
    <w:link w:val="KommentaremneTegn"/>
    <w:rsid w:val="00837F78"/>
    <w:rPr>
      <w:b/>
      <w:bCs/>
    </w:rPr>
  </w:style>
  <w:style w:type="character" w:customStyle="1" w:styleId="KommentaremneTegn">
    <w:name w:val="Kommentaremne Tegn"/>
    <w:basedOn w:val="KommentartekstTegn"/>
    <w:link w:val="Kommentaremne"/>
    <w:rsid w:val="00837F78"/>
    <w:rPr>
      <w:rFonts w:ascii="Garamond" w:hAnsi="Garamond"/>
      <w:b/>
      <w:bCs/>
    </w:rPr>
  </w:style>
  <w:style w:type="paragraph" w:styleId="Markeringsbobletekst">
    <w:name w:val="Balloon Text"/>
    <w:basedOn w:val="Normal"/>
    <w:link w:val="MarkeringsbobletekstTegn"/>
    <w:rsid w:val="00837F78"/>
    <w:rPr>
      <w:rFonts w:ascii="Tahoma" w:hAnsi="Tahoma" w:cs="Tahoma"/>
      <w:sz w:val="16"/>
      <w:szCs w:val="16"/>
    </w:rPr>
  </w:style>
  <w:style w:type="character" w:customStyle="1" w:styleId="MarkeringsbobletekstTegn">
    <w:name w:val="Markeringsbobletekst Tegn"/>
    <w:basedOn w:val="Standardskrifttypeiafsnit"/>
    <w:link w:val="Markeringsbobletekst"/>
    <w:rsid w:val="00837F78"/>
    <w:rPr>
      <w:rFonts w:ascii="Tahoma" w:hAnsi="Tahoma" w:cs="Tahoma"/>
      <w:sz w:val="16"/>
      <w:szCs w:val="16"/>
    </w:rPr>
  </w:style>
  <w:style w:type="paragraph" w:customStyle="1" w:styleId="msolistparagraph0">
    <w:name w:val="msolistparagraph"/>
    <w:basedOn w:val="Normal"/>
    <w:rsid w:val="00F54A37"/>
    <w:pPr>
      <w:ind w:left="720"/>
    </w:pPr>
    <w:rPr>
      <w:rFonts w:ascii="Calibri" w:eastAsia="Calibri" w:hAnsi="Calibri"/>
      <w:sz w:val="22"/>
      <w:szCs w:val="22"/>
    </w:rPr>
  </w:style>
  <w:style w:type="character" w:customStyle="1" w:styleId="SidehovedTegn">
    <w:name w:val="Sidehoved Tegn"/>
    <w:basedOn w:val="Standardskrifttypeiafsnit"/>
    <w:link w:val="Sidehoved"/>
    <w:uiPriority w:val="99"/>
    <w:rsid w:val="00737F36"/>
    <w:rPr>
      <w:rFonts w:ascii="Garamond" w:hAnsi="Garamond"/>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803">
      <w:bodyDiv w:val="1"/>
      <w:marLeft w:val="0"/>
      <w:marRight w:val="0"/>
      <w:marTop w:val="0"/>
      <w:marBottom w:val="0"/>
      <w:divBdr>
        <w:top w:val="none" w:sz="0" w:space="0" w:color="auto"/>
        <w:left w:val="none" w:sz="0" w:space="0" w:color="auto"/>
        <w:bottom w:val="none" w:sz="0" w:space="0" w:color="auto"/>
        <w:right w:val="none" w:sz="0" w:space="0" w:color="auto"/>
      </w:divBdr>
    </w:div>
    <w:div w:id="930626021">
      <w:bodyDiv w:val="1"/>
      <w:marLeft w:val="0"/>
      <w:marRight w:val="0"/>
      <w:marTop w:val="0"/>
      <w:marBottom w:val="0"/>
      <w:divBdr>
        <w:top w:val="none" w:sz="0" w:space="0" w:color="auto"/>
        <w:left w:val="none" w:sz="0" w:space="0" w:color="auto"/>
        <w:bottom w:val="none" w:sz="0" w:space="0" w:color="auto"/>
        <w:right w:val="none" w:sz="0" w:space="0" w:color="auto"/>
      </w:divBdr>
      <w:divsChild>
        <w:div w:id="151527094">
          <w:marLeft w:val="0"/>
          <w:marRight w:val="0"/>
          <w:marTop w:val="0"/>
          <w:marBottom w:val="360"/>
          <w:divBdr>
            <w:top w:val="none" w:sz="0" w:space="0" w:color="auto"/>
            <w:left w:val="none" w:sz="0" w:space="0" w:color="auto"/>
            <w:bottom w:val="none" w:sz="0" w:space="0" w:color="auto"/>
            <w:right w:val="none" w:sz="0" w:space="0" w:color="auto"/>
          </w:divBdr>
          <w:divsChild>
            <w:div w:id="94860753">
              <w:marLeft w:val="540"/>
              <w:marRight w:val="0"/>
              <w:marTop w:val="0"/>
              <w:marBottom w:val="0"/>
              <w:divBdr>
                <w:top w:val="none" w:sz="0" w:space="0" w:color="auto"/>
                <w:left w:val="none" w:sz="0" w:space="0" w:color="auto"/>
                <w:bottom w:val="none" w:sz="0" w:space="0" w:color="auto"/>
                <w:right w:val="none" w:sz="0" w:space="0" w:color="auto"/>
              </w:divBdr>
              <w:divsChild>
                <w:div w:id="1882595263">
                  <w:marLeft w:val="540"/>
                  <w:marRight w:val="0"/>
                  <w:marTop w:val="0"/>
                  <w:marBottom w:val="0"/>
                  <w:divBdr>
                    <w:top w:val="none" w:sz="0" w:space="0" w:color="auto"/>
                    <w:left w:val="none" w:sz="0" w:space="0" w:color="auto"/>
                    <w:bottom w:val="none" w:sz="0" w:space="0" w:color="auto"/>
                    <w:right w:val="none" w:sz="0" w:space="0" w:color="auto"/>
                  </w:divBdr>
                  <w:divsChild>
                    <w:div w:id="5760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Alle\Internt%20notat%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E687-5757-4945-967F-2AEACC65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notat m LOGO (digitalt)</Template>
  <TotalTime>1</TotalTime>
  <Pages>7</Pages>
  <Words>2243</Words>
  <Characters>13686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&lt;Brevoverskrift&gt;</vt:lpstr>
    </vt:vector>
  </TitlesOfParts>
  <Company>OptiMentor</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&lt;Brevoverskrift&gt;</dc:title>
  <dc:creator>Jesper Støier</dc:creator>
  <cp:lastModifiedBy>Karen og John</cp:lastModifiedBy>
  <cp:revision>2</cp:revision>
  <cp:lastPrinted>2012-12-06T19:53:00Z</cp:lastPrinted>
  <dcterms:created xsi:type="dcterms:W3CDTF">2012-12-06T19:54:00Z</dcterms:created>
  <dcterms:modified xsi:type="dcterms:W3CDTF">2012-12-06T19:54:00Z</dcterms:modified>
</cp:coreProperties>
</file>