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EDC" w:rsidRPr="00C9429E" w:rsidRDefault="00452EDC" w:rsidP="00452EDC">
      <w:pPr>
        <w:jc w:val="center"/>
        <w:rPr>
          <w:rFonts w:ascii="Arial" w:hAnsi="Arial" w:cs="Arial"/>
          <w:b/>
          <w:i/>
          <w:sz w:val="40"/>
          <w:szCs w:val="40"/>
        </w:rPr>
      </w:pPr>
      <w:r w:rsidRPr="00C9429E">
        <w:rPr>
          <w:rFonts w:ascii="Arial" w:hAnsi="Arial" w:cs="Arial"/>
          <w:b/>
          <w:i/>
          <w:sz w:val="40"/>
          <w:szCs w:val="40"/>
        </w:rPr>
        <w:t>FOLKESKOLEN</w:t>
      </w:r>
    </w:p>
    <w:p w:rsidR="00452EDC" w:rsidRDefault="00452EDC" w:rsidP="00452EDC">
      <w:pPr>
        <w:jc w:val="center"/>
        <w:rPr>
          <w:rFonts w:ascii="Arial" w:hAnsi="Arial" w:cs="Arial"/>
          <w:b/>
        </w:rPr>
      </w:pPr>
    </w:p>
    <w:p w:rsidR="00452EDC" w:rsidRPr="00E83F95" w:rsidRDefault="00452EDC" w:rsidP="00452EDC">
      <w:pPr>
        <w:jc w:val="center"/>
        <w:rPr>
          <w:rFonts w:ascii="Arial" w:hAnsi="Arial" w:cs="Arial"/>
          <w:b/>
        </w:rPr>
      </w:pPr>
    </w:p>
    <w:p w:rsidR="00452EDC" w:rsidRDefault="00452EDC" w:rsidP="00452EDC">
      <w:pPr>
        <w:pStyle w:val="Overskrift1"/>
        <w:jc w:val="center"/>
        <w:rPr>
          <w:sz w:val="28"/>
        </w:rPr>
      </w:pPr>
      <w:r>
        <w:rPr>
          <w:sz w:val="28"/>
        </w:rPr>
        <w:t xml:space="preserve">Undersøgelse af folkeskolereformens virkninger på lærernes arbejdsliv </w:t>
      </w:r>
    </w:p>
    <w:p w:rsidR="00452EDC" w:rsidRDefault="00452EDC" w:rsidP="00452EDC">
      <w:pPr>
        <w:pStyle w:val="Overskrift1"/>
        <w:jc w:val="center"/>
        <w:rPr>
          <w:sz w:val="28"/>
        </w:rPr>
      </w:pPr>
      <w:r>
        <w:rPr>
          <w:sz w:val="28"/>
        </w:rPr>
        <w:t>2014</w:t>
      </w:r>
    </w:p>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Pr>
        <w:jc w:val="center"/>
        <w:rPr>
          <w:b/>
          <w:bCs/>
        </w:rPr>
      </w:pPr>
      <w:r>
        <w:rPr>
          <w:b/>
          <w:bCs/>
        </w:rPr>
        <w:t>Udarbejdet af Scharling Research</w:t>
      </w:r>
    </w:p>
    <w:p w:rsidR="00452EDC" w:rsidRDefault="00452EDC" w:rsidP="00452EDC">
      <w:pPr>
        <w:jc w:val="center"/>
        <w:rPr>
          <w:b/>
          <w:bCs/>
        </w:rPr>
      </w:pPr>
      <w:r>
        <w:rPr>
          <w:b/>
          <w:bCs/>
        </w:rPr>
        <w:t xml:space="preserve">for redaktionen af </w:t>
      </w:r>
      <w:r w:rsidRPr="00E83F95">
        <w:rPr>
          <w:b/>
          <w:bCs/>
          <w:i/>
        </w:rPr>
        <w:t>Folkeskolen</w:t>
      </w:r>
      <w:r>
        <w:rPr>
          <w:b/>
          <w:bCs/>
        </w:rPr>
        <w:t>, september 2014</w:t>
      </w:r>
    </w:p>
    <w:p w:rsidR="00452EDC" w:rsidRDefault="00452EDC" w:rsidP="00452EDC">
      <w:pPr>
        <w:jc w:val="center"/>
        <w:rPr>
          <w:b/>
          <w:bCs/>
        </w:rPr>
      </w:pPr>
    </w:p>
    <w:p w:rsidR="00452EDC" w:rsidRDefault="00452EDC" w:rsidP="00452EDC">
      <w:pPr>
        <w:jc w:val="center"/>
        <w:rPr>
          <w:b/>
          <w:bCs/>
        </w:rPr>
      </w:pPr>
    </w:p>
    <w:p w:rsidR="00452EDC" w:rsidRDefault="00452EDC" w:rsidP="00452EDC">
      <w:pPr>
        <w:jc w:val="center"/>
        <w:rPr>
          <w:b/>
          <w:bCs/>
        </w:rPr>
      </w:pPr>
    </w:p>
    <w:p w:rsidR="00452EDC" w:rsidRDefault="00452EDC" w:rsidP="00452EDC">
      <w:pPr>
        <w:jc w:val="center"/>
        <w:rPr>
          <w:b/>
          <w:bCs/>
        </w:rPr>
      </w:pPr>
    </w:p>
    <w:p w:rsidR="00452EDC" w:rsidRDefault="00452EDC" w:rsidP="00452EDC">
      <w:pPr>
        <w:jc w:val="center"/>
        <w:rPr>
          <w:b/>
          <w:bCs/>
        </w:rPr>
      </w:pPr>
    </w:p>
    <w:p w:rsidR="00452EDC" w:rsidRDefault="00452EDC" w:rsidP="00452EDC">
      <w:pPr>
        <w:rPr>
          <w:b/>
          <w:bCs/>
          <w:sz w:val="28"/>
          <w:szCs w:val="28"/>
        </w:rPr>
      </w:pPr>
    </w:p>
    <w:p w:rsidR="00452EDC" w:rsidRPr="003D70C6" w:rsidRDefault="00452EDC" w:rsidP="00452EDC">
      <w:pPr>
        <w:jc w:val="center"/>
        <w:rPr>
          <w:b/>
          <w:bCs/>
          <w:sz w:val="28"/>
          <w:szCs w:val="28"/>
        </w:rPr>
      </w:pPr>
      <w:r w:rsidRPr="00CF7201">
        <w:rPr>
          <w:b/>
          <w:bCs/>
          <w:sz w:val="28"/>
          <w:szCs w:val="28"/>
        </w:rPr>
        <w:t>Scharling.dk</w:t>
      </w:r>
    </w:p>
    <w:p w:rsidR="00452EDC" w:rsidRDefault="00452EDC" w:rsidP="00452EDC"/>
    <w:p w:rsidR="00452EDC" w:rsidRDefault="00452EDC" w:rsidP="00452EDC"/>
    <w:p w:rsidR="00452EDC" w:rsidRDefault="00452EDC" w:rsidP="00452EDC"/>
    <w:p w:rsidR="00452EDC" w:rsidRDefault="00452EDC" w:rsidP="00452EDC"/>
    <w:p w:rsidR="00452EDC" w:rsidRPr="00E15FBA" w:rsidRDefault="00452EDC" w:rsidP="00452EDC"/>
    <w:p w:rsidR="00452EDC" w:rsidRPr="0034227E" w:rsidRDefault="00452EDC" w:rsidP="00452EDC">
      <w:pPr>
        <w:pStyle w:val="Overskrift2"/>
        <w:rPr>
          <w:sz w:val="36"/>
          <w:szCs w:val="36"/>
        </w:rPr>
      </w:pPr>
      <w:r>
        <w:rPr>
          <w:sz w:val="36"/>
          <w:szCs w:val="36"/>
        </w:rPr>
        <w:t>Formål</w:t>
      </w:r>
    </w:p>
    <w:p w:rsidR="00452EDC" w:rsidRDefault="00452EDC" w:rsidP="00452EDC">
      <w:pPr>
        <w:pStyle w:val="Standard"/>
        <w:jc w:val="both"/>
        <w:rPr>
          <w:lang w:val="da-DK"/>
        </w:rPr>
      </w:pPr>
    </w:p>
    <w:p w:rsidR="00452EDC" w:rsidRPr="000A18EC" w:rsidRDefault="00452EDC" w:rsidP="00452EDC">
      <w:pPr>
        <w:pStyle w:val="Standard"/>
        <w:jc w:val="both"/>
        <w:rPr>
          <w:lang w:val="da-DK"/>
        </w:rPr>
      </w:pPr>
      <w:r w:rsidRPr="000A18EC">
        <w:rPr>
          <w:lang w:val="da-DK"/>
        </w:rPr>
        <w:t xml:space="preserve">Denne rapport har til hensigt at afdække </w:t>
      </w:r>
      <w:r>
        <w:rPr>
          <w:lang w:val="da-DK"/>
        </w:rPr>
        <w:t>folkeskolereformens indvirkning på lærernes arbejdsliv. Sigtet med rapporten er, at fremhæve hvilke erfaringer lærerne har gjort sig med reformen. Rappo</w:t>
      </w:r>
      <w:r>
        <w:rPr>
          <w:lang w:val="da-DK"/>
        </w:rPr>
        <w:t>r</w:t>
      </w:r>
      <w:r>
        <w:rPr>
          <w:lang w:val="da-DK"/>
        </w:rPr>
        <w:t xml:space="preserve">ten har fokus på følgende 9 områder; </w:t>
      </w:r>
      <w:r w:rsidRPr="006E5113">
        <w:rPr>
          <w:lang w:val="da-DK"/>
        </w:rPr>
        <w:t>selve reformen, lærerarbejdspladser, fuld tilstedeværelse og lov 409, forberedelse og forberedelsestid, inklusion, lektier, tilsyn, ytringsfrihed samt udbredelsen af pædagogiske råd.</w:t>
      </w:r>
    </w:p>
    <w:p w:rsidR="00452EDC" w:rsidRPr="0034227E" w:rsidRDefault="00452EDC" w:rsidP="00452EDC">
      <w:pPr>
        <w:pStyle w:val="Overskrift2"/>
        <w:rPr>
          <w:sz w:val="36"/>
          <w:szCs w:val="36"/>
        </w:rPr>
      </w:pPr>
      <w:r w:rsidRPr="0034227E">
        <w:rPr>
          <w:sz w:val="36"/>
          <w:szCs w:val="36"/>
        </w:rPr>
        <w:lastRenderedPageBreak/>
        <w:t>Metode</w:t>
      </w:r>
    </w:p>
    <w:p w:rsidR="00452EDC" w:rsidRDefault="00452EDC" w:rsidP="00452EDC">
      <w:pPr>
        <w:pStyle w:val="Standard"/>
        <w:jc w:val="both"/>
        <w:rPr>
          <w:lang w:val="da-DK"/>
        </w:rPr>
      </w:pPr>
    </w:p>
    <w:p w:rsidR="00452EDC" w:rsidRPr="007270F0" w:rsidRDefault="00452EDC" w:rsidP="00452EDC">
      <w:pPr>
        <w:pStyle w:val="Standard"/>
        <w:jc w:val="both"/>
        <w:rPr>
          <w:lang w:val="da-DK"/>
        </w:rPr>
      </w:pPr>
      <w:r w:rsidRPr="007270F0">
        <w:rPr>
          <w:lang w:val="da-DK"/>
        </w:rPr>
        <w:t xml:space="preserve">Analysen baserer sig på en </w:t>
      </w:r>
      <w:proofErr w:type="spellStart"/>
      <w:r w:rsidRPr="007270F0">
        <w:rPr>
          <w:lang w:val="da-DK"/>
        </w:rPr>
        <w:t>internetsurvey</w:t>
      </w:r>
      <w:proofErr w:type="spellEnd"/>
      <w:r w:rsidRPr="007270F0">
        <w:rPr>
          <w:lang w:val="da-DK"/>
        </w:rPr>
        <w:t xml:space="preserve">, hvor spørgeskemaet er distribueret via </w:t>
      </w:r>
      <w:proofErr w:type="spellStart"/>
      <w:r w:rsidRPr="007270F0">
        <w:rPr>
          <w:lang w:val="da-DK"/>
        </w:rPr>
        <w:t>SurveyXact</w:t>
      </w:r>
      <w:proofErr w:type="spellEnd"/>
      <w:r w:rsidRPr="007270F0">
        <w:rPr>
          <w:lang w:val="da-DK"/>
        </w:rPr>
        <w:t xml:space="preserve"> til </w:t>
      </w:r>
      <w:r>
        <w:rPr>
          <w:lang w:val="da-DK"/>
        </w:rPr>
        <w:t>924</w:t>
      </w:r>
      <w:r w:rsidRPr="007270F0">
        <w:rPr>
          <w:lang w:val="da-DK"/>
        </w:rPr>
        <w:t xml:space="preserve"> medlemmer af Folkeskolens undersøgelsespanel. Spørgeskemaet blev distribueret elektronisk via e-mail d. </w:t>
      </w:r>
      <w:proofErr w:type="gramStart"/>
      <w:r>
        <w:rPr>
          <w:lang w:val="da-DK"/>
        </w:rPr>
        <w:t>15/9-2014</w:t>
      </w:r>
      <w:proofErr w:type="gramEnd"/>
      <w:r>
        <w:rPr>
          <w:lang w:val="da-DK"/>
        </w:rPr>
        <w:t xml:space="preserve"> kl. 09.00</w:t>
      </w:r>
      <w:r w:rsidRPr="007270F0">
        <w:rPr>
          <w:lang w:val="da-DK"/>
        </w:rPr>
        <w:t xml:space="preserve"> og var åbent for besvarelse frem til d. </w:t>
      </w:r>
      <w:r>
        <w:rPr>
          <w:lang w:val="da-DK"/>
        </w:rPr>
        <w:t>24/9-2014 kl. 21.00</w:t>
      </w:r>
      <w:r w:rsidRPr="007270F0">
        <w:rPr>
          <w:lang w:val="da-DK"/>
        </w:rPr>
        <w:t xml:space="preserve">. For at få så mange besvarelser som muligt, er der sendt en rykkermail ud d. </w:t>
      </w:r>
      <w:proofErr w:type="gramStart"/>
      <w:r>
        <w:rPr>
          <w:lang w:val="da-DK"/>
        </w:rPr>
        <w:t>22/9-2014</w:t>
      </w:r>
      <w:proofErr w:type="gramEnd"/>
      <w:r>
        <w:rPr>
          <w:lang w:val="da-DK"/>
        </w:rPr>
        <w:t xml:space="preserve"> kl. 09.00</w:t>
      </w:r>
      <w:r w:rsidRPr="007270F0">
        <w:rPr>
          <w:lang w:val="da-DK"/>
        </w:rPr>
        <w:t xml:space="preserve"> til alle de e-mailadresser, der i første omgang var forsøgt kontaktet, men som ikke havde gennemført besv</w:t>
      </w:r>
      <w:r w:rsidRPr="007270F0">
        <w:rPr>
          <w:lang w:val="da-DK"/>
        </w:rPr>
        <w:t>a</w:t>
      </w:r>
      <w:r w:rsidRPr="007270F0">
        <w:rPr>
          <w:lang w:val="da-DK"/>
        </w:rPr>
        <w:t>relsen. Alle besvarelser er tastet ind online af respondenterne selv.</w:t>
      </w:r>
    </w:p>
    <w:p w:rsidR="00452EDC" w:rsidRPr="00A86587" w:rsidRDefault="00452EDC" w:rsidP="00452EDC">
      <w:pPr>
        <w:pStyle w:val="Standard"/>
        <w:jc w:val="both"/>
        <w:rPr>
          <w:lang w:val="da-DK"/>
        </w:rPr>
      </w:pPr>
    </w:p>
    <w:p w:rsidR="00452EDC" w:rsidRPr="00A86587" w:rsidRDefault="00452EDC" w:rsidP="00452EDC">
      <w:pPr>
        <w:pStyle w:val="Standard"/>
        <w:jc w:val="both"/>
        <w:rPr>
          <w:lang w:val="da-DK"/>
        </w:rPr>
      </w:pPr>
      <w:r>
        <w:rPr>
          <w:lang w:val="da-DK"/>
        </w:rPr>
        <w:t>D</w:t>
      </w:r>
      <w:r w:rsidRPr="00A86587">
        <w:rPr>
          <w:lang w:val="da-DK"/>
        </w:rPr>
        <w:t>e mere udførlige</w:t>
      </w:r>
      <w:r>
        <w:rPr>
          <w:lang w:val="da-DK"/>
        </w:rPr>
        <w:t xml:space="preserve"> tabeller og statistiske tests s</w:t>
      </w:r>
      <w:r w:rsidRPr="00A86587">
        <w:rPr>
          <w:lang w:val="da-DK"/>
        </w:rPr>
        <w:t>amt det fulde spørgeskema</w:t>
      </w:r>
      <w:r>
        <w:rPr>
          <w:lang w:val="da-DK"/>
        </w:rPr>
        <w:t xml:space="preserve"> bilag 52 forefindes i b</w:t>
      </w:r>
      <w:r>
        <w:rPr>
          <w:lang w:val="da-DK"/>
        </w:rPr>
        <w:t>i</w:t>
      </w:r>
      <w:r>
        <w:rPr>
          <w:lang w:val="da-DK"/>
        </w:rPr>
        <w:t>lagsdelen sidst i rapporten</w:t>
      </w:r>
      <w:r w:rsidRPr="00A86587">
        <w:rPr>
          <w:lang w:val="da-DK"/>
        </w:rPr>
        <w:t>.</w:t>
      </w:r>
    </w:p>
    <w:p w:rsidR="00452EDC" w:rsidRDefault="00452EDC" w:rsidP="00452EDC">
      <w:pPr>
        <w:pStyle w:val="Standard"/>
        <w:jc w:val="both"/>
        <w:rPr>
          <w:lang w:val="da-DK"/>
        </w:rPr>
      </w:pPr>
    </w:p>
    <w:p w:rsidR="00452EDC" w:rsidRPr="00A86587" w:rsidRDefault="00452EDC" w:rsidP="00452EDC">
      <w:pPr>
        <w:pStyle w:val="Overskrift2"/>
        <w:rPr>
          <w:sz w:val="36"/>
          <w:szCs w:val="36"/>
        </w:rPr>
      </w:pPr>
      <w:r w:rsidRPr="00A86587">
        <w:rPr>
          <w:sz w:val="36"/>
          <w:szCs w:val="36"/>
        </w:rPr>
        <w:t>Databehandling</w:t>
      </w:r>
    </w:p>
    <w:p w:rsidR="00452EDC" w:rsidRPr="00A86587" w:rsidRDefault="00452EDC" w:rsidP="00452EDC">
      <w:pPr>
        <w:pStyle w:val="Standard"/>
        <w:jc w:val="both"/>
        <w:rPr>
          <w:lang w:val="da-DK"/>
        </w:rPr>
      </w:pPr>
    </w:p>
    <w:p w:rsidR="00452EDC" w:rsidRPr="00A86587" w:rsidRDefault="00452EDC" w:rsidP="00452EDC">
      <w:pPr>
        <w:pStyle w:val="Standard"/>
        <w:jc w:val="both"/>
        <w:rPr>
          <w:lang w:val="da-DK"/>
        </w:rPr>
      </w:pPr>
      <w:r w:rsidRPr="00A86587">
        <w:rPr>
          <w:lang w:val="da-DK"/>
        </w:rPr>
        <w:t>Resultaterne er fremkommet ved, at samtlige besvarelser er blevet behandlet i en statistisk pr</w:t>
      </w:r>
      <w:r w:rsidRPr="00A86587">
        <w:rPr>
          <w:lang w:val="da-DK"/>
        </w:rPr>
        <w:t>o</w:t>
      </w:r>
      <w:r w:rsidRPr="00A86587">
        <w:rPr>
          <w:lang w:val="da-DK"/>
        </w:rPr>
        <w:t>grampakke</w:t>
      </w:r>
      <w:r>
        <w:rPr>
          <w:lang w:val="da-DK"/>
        </w:rPr>
        <w:t xml:space="preserve"> (</w:t>
      </w:r>
      <w:proofErr w:type="spellStart"/>
      <w:r>
        <w:rPr>
          <w:lang w:val="da-DK"/>
        </w:rPr>
        <w:t>Stata</w:t>
      </w:r>
      <w:proofErr w:type="spellEnd"/>
      <w:r>
        <w:rPr>
          <w:lang w:val="da-DK"/>
        </w:rPr>
        <w:t>)</w:t>
      </w:r>
      <w:r w:rsidRPr="00A86587">
        <w:rPr>
          <w:lang w:val="da-DK"/>
        </w:rPr>
        <w:t>, hvor de er kontrolleret og renset for fejl.</w:t>
      </w:r>
    </w:p>
    <w:p w:rsidR="00452EDC" w:rsidRPr="00A86587" w:rsidRDefault="00452EDC" w:rsidP="00452EDC">
      <w:pPr>
        <w:pStyle w:val="Standard"/>
        <w:jc w:val="both"/>
        <w:rPr>
          <w:lang w:val="da-DK"/>
        </w:rPr>
      </w:pPr>
      <w:r w:rsidRPr="00A86587">
        <w:rPr>
          <w:lang w:val="da-DK"/>
        </w:rPr>
        <w:t>Spørgsmålene fremstilles for hvert spørgsmål i en figur med andelene angivet i procent i en grafisk illustration. Andele angives i hele procenter, og læseren skal derfor være opmærksom på, at disse ikke nødvendigvis summer</w:t>
      </w:r>
      <w:r>
        <w:rPr>
          <w:lang w:val="da-DK"/>
        </w:rPr>
        <w:t xml:space="preserve">er til 100 </w:t>
      </w:r>
      <w:r w:rsidRPr="00A86587">
        <w:rPr>
          <w:lang w:val="da-DK"/>
        </w:rPr>
        <w:t>%, idet afrunding i nogle tilfælde fører til, at summen bliver lidt mindre eller lidt højere. I forlængelse heraf bliver samtlige spørgsmål krydstabuleret med de nævnte baggrundsvariabler og testet for sammenhæng via statistiske tests (for uddybning se nede</w:t>
      </w:r>
      <w:r w:rsidRPr="00A86587">
        <w:rPr>
          <w:lang w:val="da-DK"/>
        </w:rPr>
        <w:t>n</w:t>
      </w:r>
      <w:r w:rsidRPr="00A86587">
        <w:rPr>
          <w:lang w:val="da-DK"/>
        </w:rPr>
        <w:t xml:space="preserve">for). Denne del af analysen har til formål at afklare hvilke sammenhænge, der kan påvises mellem baggrundsvariablerne og de øvrige spørgsmål. Forinden dette vil også de enkelte baggrundsfaktorer blive krydstabuleret med de </w:t>
      </w:r>
      <w:r>
        <w:rPr>
          <w:lang w:val="da-DK"/>
        </w:rPr>
        <w:t xml:space="preserve">øvrige baggrundsfaktorer. </w:t>
      </w:r>
      <w:r w:rsidRPr="00A86587">
        <w:rPr>
          <w:lang w:val="da-DK"/>
        </w:rPr>
        <w:t>Signifikante sammenhænge vil løbende blive kommenteret, mens selve krydstabellerne forefindes i rapportens bilagsdel. Derfor anbefales det l</w:t>
      </w:r>
      <w:r w:rsidRPr="00A86587">
        <w:rPr>
          <w:lang w:val="da-DK"/>
        </w:rPr>
        <w:t>æ</w:t>
      </w:r>
      <w:r w:rsidRPr="00A86587">
        <w:rPr>
          <w:lang w:val="da-DK"/>
        </w:rPr>
        <w:t>seren at studere disse på egen hånd, hvis der ønskes et mere indgående indblik i variablenes spec</w:t>
      </w:r>
      <w:r w:rsidRPr="00A86587">
        <w:rPr>
          <w:lang w:val="da-DK"/>
        </w:rPr>
        <w:t>i</w:t>
      </w:r>
      <w:r w:rsidRPr="00A86587">
        <w:rPr>
          <w:lang w:val="da-DK"/>
        </w:rPr>
        <w:t xml:space="preserve">fikke sammenhæng. </w:t>
      </w:r>
    </w:p>
    <w:p w:rsidR="00452EDC" w:rsidRPr="00A86587" w:rsidRDefault="00452EDC" w:rsidP="00452EDC">
      <w:pPr>
        <w:pStyle w:val="Standard"/>
        <w:jc w:val="both"/>
        <w:rPr>
          <w:lang w:val="da-DK"/>
        </w:rPr>
      </w:pPr>
    </w:p>
    <w:p w:rsidR="00452EDC" w:rsidRPr="00A86587" w:rsidRDefault="00452EDC" w:rsidP="00452EDC">
      <w:pPr>
        <w:pStyle w:val="Standard"/>
        <w:jc w:val="both"/>
        <w:rPr>
          <w:lang w:val="da-DK"/>
        </w:rPr>
      </w:pPr>
      <w:r w:rsidRPr="00A86587">
        <w:rPr>
          <w:lang w:val="da-DK"/>
        </w:rPr>
        <w:t xml:space="preserve">Krydstabeller testes for signifikans ved hjælp af den såkaldte gammakoefficient og </w:t>
      </w:r>
      <w:proofErr w:type="spellStart"/>
      <w:r w:rsidRPr="00A86587">
        <w:rPr>
          <w:lang w:val="da-DK"/>
        </w:rPr>
        <w:t>chi-square</w:t>
      </w:r>
      <w:proofErr w:type="spellEnd"/>
      <w:r w:rsidRPr="00A86587">
        <w:rPr>
          <w:lang w:val="da-DK"/>
        </w:rPr>
        <w:t xml:space="preserve"> (chi</w:t>
      </w:r>
      <w:r w:rsidRPr="00A86587">
        <w:rPr>
          <w:vertAlign w:val="superscript"/>
          <w:lang w:val="da-DK"/>
        </w:rPr>
        <w:t>2</w:t>
      </w:r>
      <w:r w:rsidRPr="00A86587">
        <w:rPr>
          <w:lang w:val="da-DK"/>
        </w:rPr>
        <w:t>) samt Eta. Disse tests angiver sandsynligheden for, at der er en statistisk sammenhæng mellem to v</w:t>
      </w:r>
      <w:r w:rsidRPr="00A86587">
        <w:rPr>
          <w:lang w:val="da-DK"/>
        </w:rPr>
        <w:t>a</w:t>
      </w:r>
      <w:r w:rsidRPr="00A86587">
        <w:rPr>
          <w:lang w:val="da-DK"/>
        </w:rPr>
        <w:t>riable. Chi</w:t>
      </w:r>
      <w:r w:rsidRPr="00A86587">
        <w:rPr>
          <w:vertAlign w:val="superscript"/>
          <w:lang w:val="da-DK"/>
        </w:rPr>
        <w:t>2</w:t>
      </w:r>
      <w:r w:rsidRPr="00A86587">
        <w:rPr>
          <w:lang w:val="da-DK"/>
        </w:rPr>
        <w:t xml:space="preserve"> bruges som backup til gamma, da denne kan fange sammenhænge, som gammakoeffic</w:t>
      </w:r>
      <w:r w:rsidRPr="00A86587">
        <w:rPr>
          <w:lang w:val="da-DK"/>
        </w:rPr>
        <w:t>i</w:t>
      </w:r>
      <w:r w:rsidRPr="00A86587">
        <w:rPr>
          <w:lang w:val="da-DK"/>
        </w:rPr>
        <w:t xml:space="preserve">enten ikke kan. Eta bruges til at teste variable på intervalniveau. </w:t>
      </w:r>
    </w:p>
    <w:p w:rsidR="00452EDC" w:rsidRPr="00A86587" w:rsidRDefault="00452EDC" w:rsidP="00452EDC">
      <w:pPr>
        <w:pStyle w:val="Standard"/>
        <w:jc w:val="both"/>
        <w:rPr>
          <w:lang w:val="da-DK"/>
        </w:rPr>
      </w:pPr>
    </w:p>
    <w:p w:rsidR="00452EDC" w:rsidRPr="00A86587" w:rsidRDefault="00452EDC" w:rsidP="00452EDC">
      <w:pPr>
        <w:pStyle w:val="Standard"/>
        <w:jc w:val="both"/>
        <w:rPr>
          <w:lang w:val="da-DK"/>
        </w:rPr>
      </w:pPr>
      <w:r w:rsidRPr="00A86587">
        <w:rPr>
          <w:lang w:val="da-DK"/>
        </w:rPr>
        <w:t xml:space="preserve">Der testes med et </w:t>
      </w:r>
      <w:proofErr w:type="spellStart"/>
      <w:r w:rsidRPr="00A86587">
        <w:rPr>
          <w:lang w:val="da-DK"/>
        </w:rPr>
        <w:t>konfidensinterval</w:t>
      </w:r>
      <w:proofErr w:type="spellEnd"/>
      <w:r w:rsidRPr="00A86587">
        <w:rPr>
          <w:lang w:val="da-DK"/>
        </w:rPr>
        <w:t xml:space="preserve"> på 95 %, hvilket betyder, at signifikanssandsynligheden skal være over 95 %, for at der kan tales om signifikans (og således, at man kan tale om, at der er en sandsynlighed på over 95 % for, at der i virkeligheden er en sammenhæng mellem de to variable). Disse sandsynlighedsmål præsenteres som decimaler, og da signifikanssandsynligheden måler sandsynligheden for, at der ikke er sammenhæng, er tallet 0,000 udtryk for en høj signifikans (høj sandsynlighed for sammenhæng) og tallet 0,05 udtryk for den fastsatte </w:t>
      </w:r>
      <w:proofErr w:type="spellStart"/>
      <w:r w:rsidRPr="00A86587">
        <w:rPr>
          <w:lang w:val="da-DK"/>
        </w:rPr>
        <w:t>konfidensgrænse</w:t>
      </w:r>
      <w:proofErr w:type="spellEnd"/>
      <w:r w:rsidRPr="00A86587">
        <w:rPr>
          <w:lang w:val="da-DK"/>
        </w:rPr>
        <w:t xml:space="preserve"> på 5 %.</w:t>
      </w:r>
    </w:p>
    <w:p w:rsidR="00452EDC" w:rsidRPr="00A86587" w:rsidRDefault="00452EDC" w:rsidP="00452EDC">
      <w:pPr>
        <w:rPr>
          <w:b/>
          <w:bCs/>
          <w:sz w:val="28"/>
          <w:szCs w:val="28"/>
        </w:rPr>
      </w:pPr>
    </w:p>
    <w:p w:rsidR="00452EDC" w:rsidRDefault="00452EDC" w:rsidP="00452EDC">
      <w:pPr>
        <w:spacing w:after="240"/>
      </w:pPr>
      <w:r>
        <w:t xml:space="preserve">Det skal kort bemærkes, at baggrundsvariablen udtrykkende respondenternes </w:t>
      </w:r>
      <w:r>
        <w:rPr>
          <w:i/>
        </w:rPr>
        <w:t>alder</w:t>
      </w:r>
      <w:r>
        <w:t xml:space="preserve"> i forhold til det statistiske arbejde med </w:t>
      </w:r>
      <w:proofErr w:type="spellStart"/>
      <w:r>
        <w:t>krystabuleringer</w:t>
      </w:r>
      <w:proofErr w:type="spellEnd"/>
      <w:r>
        <w:t xml:space="preserve"> for test af signifikante sammenhænge er blevet kategoris</w:t>
      </w:r>
      <w:r>
        <w:t>e</w:t>
      </w:r>
      <w:r>
        <w:t xml:space="preserve">ret til en </w:t>
      </w:r>
      <w:proofErr w:type="spellStart"/>
      <w:r>
        <w:t>ordinalskaleret</w:t>
      </w:r>
      <w:proofErr w:type="spellEnd"/>
      <w:r>
        <w:t xml:space="preserve"> variabel med kategorierne: </w:t>
      </w:r>
      <w:r>
        <w:rPr>
          <w:i/>
        </w:rPr>
        <w:t xml:space="preserve">Under 30 år; 30-39 år; 40-49 år: 50-59 år; 60 </w:t>
      </w:r>
      <w:r>
        <w:rPr>
          <w:i/>
        </w:rPr>
        <w:lastRenderedPageBreak/>
        <w:t>år og ældre</w:t>
      </w:r>
      <w:r>
        <w:t xml:space="preserve">. Denne </w:t>
      </w:r>
      <w:proofErr w:type="spellStart"/>
      <w:r>
        <w:t>omskalering</w:t>
      </w:r>
      <w:proofErr w:type="spellEnd"/>
      <w:r>
        <w:t xml:space="preserve"> er valgt, da det letter fortolkningsarbejdet for læseren af denne rapport.</w:t>
      </w:r>
    </w:p>
    <w:p w:rsidR="00452EDC" w:rsidRDefault="00452EDC" w:rsidP="00452EDC">
      <w:pPr>
        <w:spacing w:after="240"/>
      </w:pPr>
      <w:r>
        <w:t xml:space="preserve">Endelig er der i forbindelse med test af signifikante sammenhæng, hvor en eller flere variable er på nominalskaleret niveau (hvor </w:t>
      </w:r>
      <w:r w:rsidRPr="00A86587">
        <w:t>Chi</w:t>
      </w:r>
      <w:r w:rsidRPr="00A86587">
        <w:rPr>
          <w:vertAlign w:val="superscript"/>
        </w:rPr>
        <w:t>2</w:t>
      </w:r>
      <w:r>
        <w:rPr>
          <w:vertAlign w:val="superscript"/>
        </w:rPr>
        <w:t xml:space="preserve"> </w:t>
      </w:r>
      <w:r>
        <w:t>anvendes som sammenhængsmål), anvendt et kriterium for anta</w:t>
      </w:r>
      <w:r>
        <w:t>l</w:t>
      </w:r>
      <w:r>
        <w:t>let af celler i krydstabellen, som må indeholde færre end 5 observationer (respondenter). Således rapporteres udelukkende sammenhænge, hvor ikke færre end halvdelen (50 %) af cellerne indeho</w:t>
      </w:r>
      <w:r>
        <w:t>l</w:t>
      </w:r>
      <w:r>
        <w:t>der færre end 5 observationer. Dermed sikres det, at læseren kun præsenteres for de sammenhænge, der statistisk må betragtes som rimelig ”sikre”.</w:t>
      </w:r>
    </w:p>
    <w:p w:rsidR="00452EDC" w:rsidRDefault="00452EDC" w:rsidP="00452EDC">
      <w:pPr>
        <w:spacing w:after="240"/>
      </w:pPr>
      <w:r w:rsidRPr="009A5271">
        <w:t xml:space="preserve">Undersøgelsen er gennemført </w:t>
      </w:r>
      <w:r>
        <w:t>af Sven Scharling og Christian Brinkmann Damsgaard</w:t>
      </w:r>
      <w:r w:rsidRPr="009A5271">
        <w:t xml:space="preserve">. </w:t>
      </w:r>
    </w:p>
    <w:p w:rsidR="00452EDC" w:rsidRPr="00FA591B" w:rsidRDefault="00452EDC" w:rsidP="00452EDC">
      <w:pPr>
        <w:spacing w:after="240"/>
      </w:pPr>
    </w:p>
    <w:p w:rsidR="00452EDC" w:rsidRPr="003D70C6" w:rsidRDefault="00452EDC" w:rsidP="00452EDC">
      <w:pPr>
        <w:pStyle w:val="Overskrift2"/>
        <w:spacing w:before="0" w:after="360"/>
        <w:rPr>
          <w:sz w:val="36"/>
          <w:szCs w:val="36"/>
        </w:rPr>
      </w:pPr>
      <w:r w:rsidRPr="0034227E">
        <w:rPr>
          <w:sz w:val="36"/>
          <w:szCs w:val="36"/>
        </w:rPr>
        <w:t>Dataindsamling</w:t>
      </w:r>
    </w:p>
    <w:p w:rsidR="00452EDC" w:rsidRPr="005D6A21" w:rsidRDefault="00452EDC" w:rsidP="00452EDC">
      <w:pPr>
        <w:pStyle w:val="Standard"/>
        <w:spacing w:before="60"/>
        <w:rPr>
          <w:lang w:val="da-DK"/>
        </w:rPr>
      </w:pPr>
      <w:r>
        <w:rPr>
          <w:lang w:val="da-DK"/>
        </w:rPr>
        <w:t xml:space="preserve">Der er i </w:t>
      </w:r>
      <w:r w:rsidRPr="007270F0">
        <w:rPr>
          <w:lang w:val="da-DK"/>
        </w:rPr>
        <w:t xml:space="preserve">alt </w:t>
      </w:r>
      <w:r>
        <w:rPr>
          <w:lang w:val="da-DK"/>
        </w:rPr>
        <w:t>513</w:t>
      </w:r>
      <w:r w:rsidRPr="005D6A21">
        <w:rPr>
          <w:lang w:val="da-DK"/>
        </w:rPr>
        <w:t xml:space="preserve"> respondenter, der har </w:t>
      </w:r>
      <w:r w:rsidRPr="00F45311">
        <w:rPr>
          <w:b/>
          <w:lang w:val="da-DK"/>
        </w:rPr>
        <w:t>besvaret alle spørgsmålene</w:t>
      </w:r>
      <w:r w:rsidRPr="005D6A21">
        <w:rPr>
          <w:lang w:val="da-DK"/>
        </w:rPr>
        <w:t>. Det svarer til en besvarelsespr</w:t>
      </w:r>
      <w:r w:rsidRPr="005D6A21">
        <w:rPr>
          <w:lang w:val="da-DK"/>
        </w:rPr>
        <w:t>o</w:t>
      </w:r>
      <w:r w:rsidRPr="005D6A21">
        <w:rPr>
          <w:lang w:val="da-DK"/>
        </w:rPr>
        <w:t xml:space="preserve">cent </w:t>
      </w:r>
      <w:r>
        <w:rPr>
          <w:lang w:val="da-DK"/>
        </w:rPr>
        <w:t>på 57,6 %</w:t>
      </w:r>
      <w:r w:rsidRPr="005D6A21">
        <w:rPr>
          <w:lang w:val="da-DK"/>
        </w:rPr>
        <w:t>, som er beregnet på følgende måde:</w:t>
      </w:r>
    </w:p>
    <w:p w:rsidR="00452EDC" w:rsidRPr="005D6A21" w:rsidRDefault="00452EDC" w:rsidP="00452EDC">
      <w:pPr>
        <w:spacing w:line="360" w:lineRule="auto"/>
        <w:jc w:val="both"/>
        <w:rPr>
          <w:color w:val="000000"/>
        </w:rPr>
      </w:pPr>
      <w:r w:rsidRPr="005D6A21">
        <w:rPr>
          <w:color w:val="000000"/>
        </w:rPr>
        <w:tab/>
        <w:t xml:space="preserve">  </w:t>
      </w:r>
    </w:p>
    <w:p w:rsidR="00452EDC" w:rsidRPr="005D6A21" w:rsidRDefault="00452EDC" w:rsidP="00452EDC">
      <w:pPr>
        <w:spacing w:line="360" w:lineRule="auto"/>
        <w:ind w:firstLine="1304"/>
        <w:jc w:val="both"/>
        <w:rPr>
          <w:color w:val="000000"/>
        </w:rPr>
      </w:pPr>
      <w:r>
        <w:rPr>
          <w:color w:val="000000"/>
        </w:rPr>
        <w:t>B. Gennemførte besvarelser</w:t>
      </w:r>
      <w:r w:rsidRPr="005D6A21">
        <w:rPr>
          <w:color w:val="000000"/>
        </w:rPr>
        <w:t>  </w:t>
      </w:r>
      <w:r w:rsidRPr="005D6A21">
        <w:rPr>
          <w:color w:val="000000"/>
        </w:rPr>
        <w:tab/>
      </w:r>
      <w:r>
        <w:rPr>
          <w:color w:val="000000"/>
        </w:rPr>
        <w:tab/>
        <w:t xml:space="preserve">   503</w:t>
      </w:r>
      <w:r w:rsidRPr="005D6A21">
        <w:rPr>
          <w:color w:val="000000"/>
        </w:rPr>
        <w:t>     </w:t>
      </w:r>
      <w:r>
        <w:rPr>
          <w:color w:val="000000"/>
        </w:rPr>
        <w:t>                               </w:t>
      </w:r>
    </w:p>
    <w:p w:rsidR="00452EDC" w:rsidRPr="005D6A21" w:rsidRDefault="00452EDC" w:rsidP="00452EDC">
      <w:pPr>
        <w:spacing w:line="360" w:lineRule="auto"/>
        <w:ind w:firstLine="1304"/>
        <w:jc w:val="both"/>
        <w:rPr>
          <w:color w:val="000000"/>
        </w:rPr>
      </w:pPr>
      <w:r w:rsidRPr="005D6A21">
        <w:rPr>
          <w:color w:val="000000"/>
        </w:rPr>
        <w:t>C. Forsøgt kontaktet                            </w:t>
      </w:r>
      <w:r w:rsidRPr="005D6A21">
        <w:rPr>
          <w:color w:val="000000"/>
        </w:rPr>
        <w:tab/>
      </w:r>
      <w:r>
        <w:rPr>
          <w:color w:val="000000"/>
        </w:rPr>
        <w:tab/>
        <w:t xml:space="preserve">   924</w:t>
      </w:r>
    </w:p>
    <w:p w:rsidR="00452EDC" w:rsidRPr="005D6A21" w:rsidRDefault="00452EDC" w:rsidP="00452EDC">
      <w:pPr>
        <w:spacing w:line="360" w:lineRule="auto"/>
        <w:ind w:firstLine="1304"/>
        <w:jc w:val="both"/>
        <w:rPr>
          <w:color w:val="000000"/>
        </w:rPr>
      </w:pPr>
      <w:r w:rsidRPr="005D6A21">
        <w:rPr>
          <w:color w:val="000000"/>
        </w:rPr>
        <w:t xml:space="preserve">D. </w:t>
      </w:r>
      <w:r>
        <w:rPr>
          <w:color w:val="000000"/>
        </w:rPr>
        <w:t>Antal uanvendelige</w:t>
      </w:r>
      <w:r>
        <w:rPr>
          <w:color w:val="000000"/>
        </w:rPr>
        <w:tab/>
      </w:r>
      <w:r>
        <w:rPr>
          <w:color w:val="000000"/>
        </w:rPr>
        <w:tab/>
      </w:r>
      <w:r>
        <w:rPr>
          <w:color w:val="000000"/>
        </w:rPr>
        <w:tab/>
        <w:t xml:space="preserve">     50</w:t>
      </w:r>
      <w:r w:rsidRPr="005D6A21">
        <w:rPr>
          <w:color w:val="000000"/>
        </w:rPr>
        <w:t>                   </w:t>
      </w:r>
      <w:r w:rsidRPr="005D6A21">
        <w:rPr>
          <w:color w:val="000000"/>
        </w:rPr>
        <w:tab/>
      </w:r>
    </w:p>
    <w:p w:rsidR="00452EDC" w:rsidRPr="005D6A21" w:rsidRDefault="00452EDC" w:rsidP="00452EDC">
      <w:pPr>
        <w:spacing w:line="360" w:lineRule="auto"/>
        <w:ind w:firstLine="1304"/>
        <w:jc w:val="both"/>
        <w:rPr>
          <w:color w:val="000000"/>
        </w:rPr>
      </w:pPr>
    </w:p>
    <w:p w:rsidR="00452EDC" w:rsidRPr="006B269E" w:rsidRDefault="00452EDC" w:rsidP="00452EDC">
      <w:pPr>
        <w:ind w:firstLine="1304"/>
        <w:rPr>
          <w:b/>
          <w:color w:val="000000"/>
        </w:rPr>
      </w:pPr>
      <w:r w:rsidRPr="006B269E">
        <w:rPr>
          <w:b/>
          <w:color w:val="000000"/>
        </w:rPr>
        <w:t>Svarpro</w:t>
      </w:r>
      <w:r>
        <w:rPr>
          <w:b/>
          <w:color w:val="000000"/>
        </w:rPr>
        <w:t>cent = B*100/C-D             </w:t>
      </w:r>
      <w:r>
        <w:rPr>
          <w:b/>
          <w:color w:val="000000"/>
        </w:rPr>
        <w:tab/>
      </w:r>
      <w:r>
        <w:rPr>
          <w:b/>
          <w:color w:val="000000"/>
        </w:rPr>
        <w:tab/>
        <w:t>57,6</w:t>
      </w:r>
      <w:r w:rsidRPr="006B269E">
        <w:rPr>
          <w:b/>
          <w:color w:val="000000"/>
        </w:rPr>
        <w:t xml:space="preserve"> %</w:t>
      </w:r>
    </w:p>
    <w:p w:rsidR="00452EDC" w:rsidRDefault="00452EDC" w:rsidP="00452EDC">
      <w:pPr>
        <w:rPr>
          <w:color w:val="000000"/>
        </w:rPr>
      </w:pPr>
    </w:p>
    <w:p w:rsidR="00452EDC" w:rsidRDefault="00452EDC" w:rsidP="00452EDC">
      <w:pPr>
        <w:rPr>
          <w:color w:val="000000"/>
        </w:rPr>
      </w:pPr>
      <w:r w:rsidRPr="00F65010">
        <w:rPr>
          <w:color w:val="000000"/>
        </w:rPr>
        <w:t xml:space="preserve">Svarprocenten udregnes </w:t>
      </w:r>
      <w:r>
        <w:rPr>
          <w:color w:val="000000"/>
        </w:rPr>
        <w:t>med</w:t>
      </w:r>
      <w:r w:rsidRPr="00F65010">
        <w:rPr>
          <w:color w:val="000000"/>
        </w:rPr>
        <w:t xml:space="preserve"> udgangspunkt i de per</w:t>
      </w:r>
      <w:r>
        <w:rPr>
          <w:color w:val="000000"/>
        </w:rPr>
        <w:t>soner, som er forsøgt</w:t>
      </w:r>
      <w:r w:rsidRPr="00F65010">
        <w:rPr>
          <w:color w:val="000000"/>
        </w:rPr>
        <w:t xml:space="preserve"> kontakte</w:t>
      </w:r>
      <w:r>
        <w:rPr>
          <w:color w:val="000000"/>
        </w:rPr>
        <w:t>t. Dog modregnes de</w:t>
      </w:r>
      <w:r w:rsidRPr="00F65010">
        <w:rPr>
          <w:color w:val="000000"/>
        </w:rPr>
        <w:t>, som det ikke kan lade sig gøre at få kontakt med pga.</w:t>
      </w:r>
      <w:r>
        <w:rPr>
          <w:color w:val="000000"/>
        </w:rPr>
        <w:t xml:space="preserve"> f.eks.</w:t>
      </w:r>
      <w:r w:rsidRPr="00F65010">
        <w:rPr>
          <w:color w:val="000000"/>
        </w:rPr>
        <w:t xml:space="preserve"> </w:t>
      </w:r>
      <w:r>
        <w:rPr>
          <w:color w:val="000000"/>
        </w:rPr>
        <w:t>ugyldige e-mailadresser, overfyldte indbakker el. lign</w:t>
      </w:r>
      <w:r w:rsidRPr="00F65010">
        <w:rPr>
          <w:color w:val="000000"/>
        </w:rPr>
        <w:t>.</w:t>
      </w:r>
    </w:p>
    <w:p w:rsidR="00452EDC" w:rsidRDefault="00452EDC" w:rsidP="00452EDC">
      <w:pPr>
        <w:rPr>
          <w:color w:val="000000"/>
        </w:rPr>
      </w:pPr>
    </w:p>
    <w:p w:rsidR="00452EDC" w:rsidRDefault="00452EDC" w:rsidP="00452EDC">
      <w:pPr>
        <w:rPr>
          <w:color w:val="000000"/>
        </w:rPr>
      </w:pPr>
      <w:r>
        <w:rPr>
          <w:color w:val="000000"/>
        </w:rPr>
        <w:t xml:space="preserve">En svarprocent på 57,6 % må anses for yderst tilfredsstillende, når der er tale om en web-undersøgelse. </w:t>
      </w:r>
    </w:p>
    <w:p w:rsidR="00452EDC" w:rsidRDefault="00452EDC" w:rsidP="00452EDC">
      <w:pPr>
        <w:rPr>
          <w:color w:val="000000"/>
        </w:rPr>
      </w:pPr>
    </w:p>
    <w:p w:rsidR="00452EDC" w:rsidRPr="00F45311" w:rsidRDefault="00452EDC" w:rsidP="00452EDC">
      <w:pPr>
        <w:rPr>
          <w:color w:val="000000"/>
        </w:rPr>
      </w:pPr>
      <w:r>
        <w:rPr>
          <w:color w:val="000000"/>
        </w:rPr>
        <w:t xml:space="preserve">Yderligere er også er svarprocent for </w:t>
      </w:r>
      <w:r w:rsidRPr="00F45311">
        <w:rPr>
          <w:b/>
          <w:color w:val="000000"/>
        </w:rPr>
        <w:t>påbegyndte besvarelser</w:t>
      </w:r>
      <w:r>
        <w:rPr>
          <w:color w:val="000000"/>
        </w:rPr>
        <w:t xml:space="preserve"> udregnet. Der er i alt </w:t>
      </w:r>
      <w:r>
        <w:rPr>
          <w:b/>
          <w:color w:val="000000"/>
        </w:rPr>
        <w:t>31</w:t>
      </w:r>
      <w:r>
        <w:rPr>
          <w:color w:val="000000"/>
        </w:rPr>
        <w:t xml:space="preserve"> responde</w:t>
      </w:r>
      <w:r>
        <w:rPr>
          <w:color w:val="000000"/>
        </w:rPr>
        <w:t>n</w:t>
      </w:r>
      <w:r>
        <w:rPr>
          <w:color w:val="000000"/>
        </w:rPr>
        <w:t xml:space="preserve">ter som har påbegyndt spørgeskemaet, men ikke besvaret alle spørgsmålene. (Det var et ret langt skema). Regnes disse 31 med er svarprocenten på </w:t>
      </w:r>
      <w:r w:rsidRPr="00F45311">
        <w:rPr>
          <w:b/>
          <w:color w:val="000000"/>
        </w:rPr>
        <w:t>62,2 %</w:t>
      </w:r>
      <w:r>
        <w:rPr>
          <w:color w:val="000000"/>
        </w:rPr>
        <w:t xml:space="preserve">. Respondenter, som har påbegyndt men ikke færdiggjort spørgeskemaet, er medtaget i undersøgelsen, fordi det i de enkelte spørgsmål øger repræsentativiteten. </w:t>
      </w:r>
    </w:p>
    <w:p w:rsidR="00452EDC" w:rsidRDefault="00452EDC" w:rsidP="00452EDC">
      <w:pPr>
        <w:pStyle w:val="Overskrift2"/>
        <w:rPr>
          <w:sz w:val="36"/>
          <w:szCs w:val="36"/>
        </w:rPr>
        <w:sectPr w:rsidR="00452EDC" w:rsidSect="00760CDB">
          <w:headerReference w:type="default" r:id="rId6"/>
          <w:footerReference w:type="default" r:id="rId7"/>
          <w:pgSz w:w="11906" w:h="16838"/>
          <w:pgMar w:top="2127" w:right="1134" w:bottom="1701" w:left="1134" w:header="568" w:footer="708" w:gutter="0"/>
          <w:cols w:space="708"/>
          <w:docGrid w:linePitch="360"/>
        </w:sectPr>
      </w:pPr>
    </w:p>
    <w:p w:rsidR="00452EDC" w:rsidRPr="001638C6" w:rsidRDefault="00452EDC" w:rsidP="00452EDC">
      <w:pPr>
        <w:pStyle w:val="Overskrift2"/>
        <w:rPr>
          <w:sz w:val="36"/>
          <w:szCs w:val="36"/>
        </w:rPr>
      </w:pPr>
      <w:r w:rsidRPr="001638C6">
        <w:rPr>
          <w:sz w:val="36"/>
          <w:szCs w:val="36"/>
        </w:rPr>
        <w:lastRenderedPageBreak/>
        <w:t>Baggrundsspørgsmål</w:t>
      </w:r>
    </w:p>
    <w:p w:rsidR="00452EDC" w:rsidRDefault="00452EDC" w:rsidP="00452EDC"/>
    <w:p w:rsidR="00452EDC" w:rsidRDefault="00452EDC" w:rsidP="00452EDC">
      <w:r>
        <w:t xml:space="preserve">Her følger respondenternes fordeling på en række baggrundsvariable. Baggrundsvariablene er desuden krydstabuleret med hinanden for at afdække eventuelle signifikante sammenhænge. </w:t>
      </w:r>
    </w:p>
    <w:p w:rsidR="00452EDC" w:rsidRPr="00CE0FB1" w:rsidRDefault="00452EDC" w:rsidP="00452EDC"/>
    <w:p w:rsidR="00452EDC" w:rsidRPr="009B72BB" w:rsidRDefault="00452EDC" w:rsidP="00452EDC">
      <w:pPr>
        <w:rPr>
          <w:szCs w:val="36"/>
        </w:rPr>
      </w:pPr>
      <w:r>
        <w:rPr>
          <w:szCs w:val="36"/>
        </w:rPr>
        <w:t xml:space="preserve">Respondenternes fordeling på undersøgelsens fire baggrundsvariable: </w:t>
      </w:r>
      <w:r>
        <w:rPr>
          <w:i/>
          <w:szCs w:val="36"/>
        </w:rPr>
        <w:t>stilling</w:t>
      </w:r>
      <w:r>
        <w:rPr>
          <w:szCs w:val="36"/>
        </w:rPr>
        <w:t xml:space="preserve">, </w:t>
      </w:r>
      <w:r>
        <w:rPr>
          <w:i/>
          <w:szCs w:val="36"/>
        </w:rPr>
        <w:t>køn</w:t>
      </w:r>
      <w:r>
        <w:rPr>
          <w:szCs w:val="36"/>
        </w:rPr>
        <w:t xml:space="preserve">, </w:t>
      </w:r>
      <w:r>
        <w:rPr>
          <w:i/>
          <w:szCs w:val="36"/>
        </w:rPr>
        <w:t>bopæl</w:t>
      </w:r>
      <w:r>
        <w:rPr>
          <w:szCs w:val="36"/>
        </w:rPr>
        <w:t xml:space="preserve"> og </w:t>
      </w:r>
      <w:r>
        <w:rPr>
          <w:i/>
          <w:szCs w:val="36"/>
        </w:rPr>
        <w:t>alder</w:t>
      </w:r>
      <w:r>
        <w:rPr>
          <w:szCs w:val="36"/>
        </w:rPr>
        <w:t xml:space="preserve"> illustreres i figurerne 1-4.</w:t>
      </w:r>
    </w:p>
    <w:p w:rsidR="00452EDC" w:rsidRDefault="00452EDC" w:rsidP="00452EDC"/>
    <w:p w:rsidR="00452EDC" w:rsidRDefault="00452EDC" w:rsidP="00452EDC">
      <w:pPr>
        <w:rPr>
          <w:b/>
          <w:sz w:val="36"/>
          <w:szCs w:val="36"/>
        </w:rPr>
      </w:pPr>
      <w:r>
        <w:rPr>
          <w:b/>
          <w:sz w:val="36"/>
          <w:szCs w:val="36"/>
        </w:rPr>
        <w:t>Er du mand eller kvinde?</w:t>
      </w:r>
    </w:p>
    <w:p w:rsidR="00452EDC" w:rsidRDefault="00452EDC" w:rsidP="00452EDC">
      <w:pPr>
        <w:rPr>
          <w:b/>
        </w:rPr>
      </w:pPr>
    </w:p>
    <w:p w:rsidR="00452EDC" w:rsidRDefault="00452EDC" w:rsidP="00452EDC">
      <w:pPr>
        <w:rPr>
          <w:b/>
        </w:rPr>
      </w:pPr>
      <w:r>
        <w:rPr>
          <w:b/>
        </w:rPr>
        <w:t>Figur 1</w:t>
      </w:r>
    </w:p>
    <w:p w:rsidR="00452EDC" w:rsidRDefault="00452EDC" w:rsidP="00452EDC">
      <w:pPr>
        <w:rPr>
          <w:b/>
        </w:rPr>
      </w:pPr>
    </w:p>
    <w:p w:rsidR="00452EDC" w:rsidRDefault="00452EDC" w:rsidP="00452EDC">
      <w:r>
        <w:rPr>
          <w:noProof/>
        </w:rPr>
        <w:drawing>
          <wp:inline distT="0" distB="0" distL="0" distR="0" wp14:anchorId="29ADD082" wp14:editId="0C24E179">
            <wp:extent cx="4572000" cy="2743200"/>
            <wp:effectExtent l="0" t="0" r="25400" b="2540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52EDC" w:rsidRDefault="00452EDC" w:rsidP="00452EDC">
      <w:pPr>
        <w:rPr>
          <w:sz w:val="16"/>
        </w:rPr>
      </w:pPr>
      <w:r>
        <w:rPr>
          <w:sz w:val="16"/>
        </w:rPr>
        <w:t>N=546</w:t>
      </w:r>
    </w:p>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Pr>
        <w:rPr>
          <w:b/>
          <w:sz w:val="36"/>
          <w:szCs w:val="36"/>
        </w:rPr>
      </w:pPr>
      <w:r>
        <w:rPr>
          <w:b/>
          <w:sz w:val="36"/>
          <w:szCs w:val="36"/>
        </w:rPr>
        <w:lastRenderedPageBreak/>
        <w:t>Hvad er din alder?</w:t>
      </w:r>
    </w:p>
    <w:p w:rsidR="00452EDC" w:rsidRDefault="00452EDC" w:rsidP="00452EDC">
      <w:pPr>
        <w:rPr>
          <w:b/>
        </w:rPr>
      </w:pPr>
    </w:p>
    <w:p w:rsidR="00452EDC" w:rsidRDefault="00452EDC" w:rsidP="00452EDC">
      <w:pPr>
        <w:rPr>
          <w:b/>
        </w:rPr>
      </w:pPr>
      <w:r>
        <w:rPr>
          <w:b/>
        </w:rPr>
        <w:t>Figur 2</w:t>
      </w:r>
    </w:p>
    <w:p w:rsidR="00452EDC" w:rsidRDefault="00452EDC" w:rsidP="00452EDC">
      <w:pPr>
        <w:rPr>
          <w:b/>
        </w:rPr>
      </w:pPr>
    </w:p>
    <w:p w:rsidR="00452EDC" w:rsidRDefault="00452EDC" w:rsidP="00452EDC">
      <w:pPr>
        <w:rPr>
          <w:b/>
        </w:rPr>
      </w:pPr>
      <w:r>
        <w:rPr>
          <w:noProof/>
        </w:rPr>
        <w:drawing>
          <wp:inline distT="0" distB="0" distL="0" distR="0" wp14:anchorId="7DEA950D" wp14:editId="2B651979">
            <wp:extent cx="4572000" cy="2743200"/>
            <wp:effectExtent l="0" t="0" r="25400" b="2540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2EDC" w:rsidRDefault="00452EDC" w:rsidP="00452EDC">
      <w:pPr>
        <w:rPr>
          <w:sz w:val="16"/>
        </w:rPr>
      </w:pPr>
      <w:r>
        <w:rPr>
          <w:sz w:val="16"/>
        </w:rPr>
        <w:t>N=545</w:t>
      </w:r>
    </w:p>
    <w:p w:rsidR="00452EDC" w:rsidRDefault="00452EDC" w:rsidP="00452EDC"/>
    <w:p w:rsidR="00452EDC" w:rsidRDefault="00452EDC" w:rsidP="00452EDC">
      <w:pPr>
        <w:rPr>
          <w:b/>
          <w:sz w:val="36"/>
          <w:szCs w:val="36"/>
        </w:rPr>
      </w:pPr>
      <w:r>
        <w:rPr>
          <w:b/>
          <w:sz w:val="36"/>
          <w:szCs w:val="36"/>
        </w:rPr>
        <w:t>Hvor bor du?</w:t>
      </w:r>
    </w:p>
    <w:p w:rsidR="00452EDC" w:rsidRDefault="00452EDC" w:rsidP="00452EDC">
      <w:pPr>
        <w:rPr>
          <w:b/>
        </w:rPr>
      </w:pPr>
    </w:p>
    <w:p w:rsidR="00452EDC" w:rsidRDefault="00452EDC" w:rsidP="00452EDC">
      <w:pPr>
        <w:rPr>
          <w:b/>
        </w:rPr>
      </w:pPr>
      <w:r>
        <w:rPr>
          <w:b/>
        </w:rPr>
        <w:t>Figur 3</w:t>
      </w:r>
    </w:p>
    <w:p w:rsidR="00452EDC" w:rsidRDefault="00452EDC" w:rsidP="00452EDC">
      <w:pPr>
        <w:rPr>
          <w:b/>
        </w:rPr>
      </w:pPr>
    </w:p>
    <w:p w:rsidR="00452EDC" w:rsidRDefault="00452EDC" w:rsidP="00452EDC">
      <w:pPr>
        <w:rPr>
          <w:b/>
        </w:rPr>
      </w:pPr>
      <w:r>
        <w:rPr>
          <w:noProof/>
        </w:rPr>
        <w:drawing>
          <wp:inline distT="0" distB="0" distL="0" distR="0" wp14:anchorId="608EF346" wp14:editId="6717A6BC">
            <wp:extent cx="4572000" cy="2743200"/>
            <wp:effectExtent l="0" t="0" r="25400" b="2540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2EDC" w:rsidRDefault="00452EDC" w:rsidP="00452EDC">
      <w:pPr>
        <w:rPr>
          <w:sz w:val="16"/>
        </w:rPr>
      </w:pPr>
      <w:r>
        <w:rPr>
          <w:sz w:val="16"/>
        </w:rPr>
        <w:t>N=545</w:t>
      </w:r>
    </w:p>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Pr>
        <w:rPr>
          <w:b/>
          <w:sz w:val="36"/>
          <w:szCs w:val="36"/>
        </w:rPr>
      </w:pPr>
      <w:r>
        <w:rPr>
          <w:b/>
          <w:sz w:val="36"/>
          <w:szCs w:val="36"/>
        </w:rPr>
        <w:t>Hvad er din stillingsbetegnelse?</w:t>
      </w:r>
    </w:p>
    <w:p w:rsidR="00452EDC" w:rsidRDefault="00452EDC" w:rsidP="00452EDC">
      <w:pPr>
        <w:rPr>
          <w:b/>
          <w:szCs w:val="36"/>
        </w:rPr>
      </w:pPr>
    </w:p>
    <w:p w:rsidR="00452EDC" w:rsidRDefault="00452EDC" w:rsidP="00452EDC">
      <w:pPr>
        <w:rPr>
          <w:b/>
          <w:szCs w:val="36"/>
        </w:rPr>
      </w:pPr>
      <w:r>
        <w:rPr>
          <w:b/>
          <w:szCs w:val="36"/>
        </w:rPr>
        <w:lastRenderedPageBreak/>
        <w:t>Figur 4</w:t>
      </w:r>
    </w:p>
    <w:p w:rsidR="00452EDC" w:rsidRDefault="00452EDC" w:rsidP="00452EDC">
      <w:pPr>
        <w:rPr>
          <w:b/>
          <w:szCs w:val="36"/>
        </w:rPr>
      </w:pPr>
    </w:p>
    <w:p w:rsidR="00452EDC" w:rsidRDefault="00452EDC" w:rsidP="00452EDC">
      <w:pPr>
        <w:rPr>
          <w:b/>
          <w:szCs w:val="36"/>
        </w:rPr>
      </w:pPr>
      <w:r>
        <w:rPr>
          <w:noProof/>
        </w:rPr>
        <w:drawing>
          <wp:inline distT="0" distB="0" distL="0" distR="0" wp14:anchorId="11646021" wp14:editId="52C87FB2">
            <wp:extent cx="5143500" cy="3295650"/>
            <wp:effectExtent l="0" t="0" r="12700" b="3175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2EDC" w:rsidRDefault="00452EDC" w:rsidP="00452EDC">
      <w:pPr>
        <w:rPr>
          <w:sz w:val="16"/>
          <w:szCs w:val="36"/>
        </w:rPr>
      </w:pPr>
      <w:r>
        <w:rPr>
          <w:sz w:val="16"/>
          <w:szCs w:val="36"/>
        </w:rPr>
        <w:t>N=543</w:t>
      </w:r>
    </w:p>
    <w:p w:rsidR="00452EDC" w:rsidRDefault="00452EDC" w:rsidP="00452EDC">
      <w:pPr>
        <w:rPr>
          <w:szCs w:val="36"/>
        </w:rPr>
      </w:pPr>
    </w:p>
    <w:p w:rsidR="00452EDC" w:rsidRPr="00D86C2F" w:rsidRDefault="00452EDC" w:rsidP="00452EDC">
      <w:r>
        <w:t xml:space="preserve">Besvarelser i kategorien </w:t>
      </w:r>
      <w:r>
        <w:rPr>
          <w:i/>
        </w:rPr>
        <w:t>Andet</w:t>
      </w:r>
      <w:r>
        <w:t xml:space="preserve"> kan findes i uredigeret version i bilag 1. </w:t>
      </w:r>
    </w:p>
    <w:p w:rsidR="00452EDC" w:rsidRDefault="00452EDC" w:rsidP="00452EDC">
      <w:pPr>
        <w:rPr>
          <w:szCs w:val="36"/>
        </w:rPr>
      </w:pPr>
    </w:p>
    <w:p w:rsidR="00452EDC" w:rsidRDefault="00452EDC" w:rsidP="00452EDC">
      <w:pPr>
        <w:rPr>
          <w:szCs w:val="36"/>
        </w:rPr>
      </w:pPr>
      <w:r>
        <w:rPr>
          <w:szCs w:val="36"/>
        </w:rPr>
        <w:t xml:space="preserve">Der findes en signifikant sammenhæng mellem </w:t>
      </w:r>
      <w:r>
        <w:rPr>
          <w:i/>
          <w:szCs w:val="36"/>
        </w:rPr>
        <w:t>køn</w:t>
      </w:r>
      <w:r>
        <w:rPr>
          <w:szCs w:val="36"/>
        </w:rPr>
        <w:t xml:space="preserve"> og </w:t>
      </w:r>
      <w:r>
        <w:rPr>
          <w:i/>
          <w:szCs w:val="36"/>
        </w:rPr>
        <w:t>alder</w:t>
      </w:r>
      <w:r>
        <w:rPr>
          <w:szCs w:val="36"/>
        </w:rPr>
        <w:t xml:space="preserve"> (bilag 2). Mændene er ældre end kvinderne.  </w:t>
      </w:r>
    </w:p>
    <w:p w:rsidR="00452EDC" w:rsidRDefault="00452EDC" w:rsidP="00452EDC">
      <w:pPr>
        <w:rPr>
          <w:szCs w:val="36"/>
        </w:rPr>
      </w:pPr>
    </w:p>
    <w:p w:rsidR="00452EDC" w:rsidRDefault="00452EDC" w:rsidP="00452EDC">
      <w:r>
        <w:t>Der findes ingen</w:t>
      </w:r>
      <w:r w:rsidRPr="009B72BB">
        <w:t xml:space="preserve"> yderligere signifikante sammenhænge de øvrige baggrundsvariable imellem.</w:t>
      </w:r>
    </w:p>
    <w:p w:rsidR="00452EDC" w:rsidRDefault="00452EDC" w:rsidP="00452EDC">
      <w:pPr>
        <w:rPr>
          <w:szCs w:val="36"/>
        </w:rPr>
      </w:pPr>
    </w:p>
    <w:p w:rsidR="00452EDC" w:rsidRDefault="00452EDC" w:rsidP="00452EDC">
      <w:pPr>
        <w:rPr>
          <w:szCs w:val="36"/>
        </w:rPr>
      </w:pPr>
      <w:r w:rsidRPr="00EF71A7">
        <w:rPr>
          <w:szCs w:val="36"/>
        </w:rPr>
        <w:t xml:space="preserve">Svarkategorien </w:t>
      </w:r>
      <w:r w:rsidRPr="00EF71A7">
        <w:rPr>
          <w:i/>
          <w:szCs w:val="36"/>
        </w:rPr>
        <w:t>Studerende</w:t>
      </w:r>
      <w:r w:rsidRPr="00EF71A7">
        <w:rPr>
          <w:szCs w:val="36"/>
        </w:rPr>
        <w:t xml:space="preserve"> på variablen for stillingsbetegnelse er eksklude</w:t>
      </w:r>
      <w:r>
        <w:rPr>
          <w:szCs w:val="36"/>
        </w:rPr>
        <w:t>ret fra resten af u</w:t>
      </w:r>
      <w:r>
        <w:rPr>
          <w:szCs w:val="36"/>
        </w:rPr>
        <w:t>n</w:t>
      </w:r>
      <w:r>
        <w:rPr>
          <w:szCs w:val="36"/>
        </w:rPr>
        <w:t>dersøgelsen, da kun é</w:t>
      </w:r>
      <w:r w:rsidRPr="00EF71A7">
        <w:rPr>
          <w:szCs w:val="36"/>
        </w:rPr>
        <w:t>n enkelt respondent havde angivet at være studerende.</w:t>
      </w:r>
      <w:r>
        <w:rPr>
          <w:szCs w:val="36"/>
        </w:rPr>
        <w:t xml:space="preserve"> </w:t>
      </w:r>
    </w:p>
    <w:p w:rsidR="00452EDC" w:rsidRDefault="00452EDC" w:rsidP="00452EDC">
      <w:pPr>
        <w:rPr>
          <w:szCs w:val="36"/>
        </w:rPr>
      </w:pPr>
    </w:p>
    <w:p w:rsidR="00452EDC" w:rsidRDefault="00452EDC" w:rsidP="00452EDC">
      <w:pPr>
        <w:rPr>
          <w:szCs w:val="36"/>
        </w:rPr>
      </w:pPr>
    </w:p>
    <w:p w:rsidR="00452EDC" w:rsidRDefault="00452EDC" w:rsidP="00452EDC">
      <w:pPr>
        <w:rPr>
          <w:szCs w:val="36"/>
        </w:rPr>
      </w:pPr>
    </w:p>
    <w:p w:rsidR="00452EDC" w:rsidRDefault="00452EDC" w:rsidP="00452EDC">
      <w:pPr>
        <w:rPr>
          <w:szCs w:val="36"/>
        </w:rPr>
      </w:pPr>
    </w:p>
    <w:p w:rsidR="00452EDC" w:rsidRDefault="00452EDC" w:rsidP="00452EDC">
      <w:pPr>
        <w:rPr>
          <w:b/>
          <w:i/>
          <w:sz w:val="36"/>
          <w:szCs w:val="36"/>
        </w:rPr>
      </w:pPr>
      <w:bookmarkStart w:id="0" w:name="_GoBack"/>
      <w:bookmarkEnd w:id="0"/>
      <w:r>
        <w:rPr>
          <w:b/>
          <w:i/>
          <w:sz w:val="36"/>
          <w:szCs w:val="36"/>
        </w:rPr>
        <w:t>Se</w:t>
      </w:r>
      <w:r>
        <w:rPr>
          <w:b/>
          <w:i/>
          <w:sz w:val="36"/>
          <w:szCs w:val="36"/>
        </w:rPr>
        <w:t>ktion 8</w:t>
      </w:r>
      <w:r w:rsidRPr="0000267F">
        <w:rPr>
          <w:b/>
          <w:i/>
          <w:sz w:val="36"/>
          <w:szCs w:val="36"/>
        </w:rPr>
        <w:t>:</w:t>
      </w:r>
      <w:r>
        <w:rPr>
          <w:b/>
          <w:i/>
          <w:sz w:val="36"/>
          <w:szCs w:val="36"/>
        </w:rPr>
        <w:t xml:space="preserve"> Ytringsfrihed</w:t>
      </w:r>
    </w:p>
    <w:p w:rsidR="00452EDC" w:rsidRDefault="00452EDC" w:rsidP="00452EDC">
      <w:r w:rsidRPr="006750F5">
        <w:t xml:space="preserve">I det følgende beskrives respondenternes fordeling på en række spørgsmål vedrørende deres syn på, </w:t>
      </w:r>
      <w:r>
        <w:t>ytringsfrihed</w:t>
      </w:r>
      <w:r w:rsidRPr="006750F5">
        <w:t xml:space="preserve">. Hvert spørgsmål er blevet krydstabuleret med baggrundsvariablene </w:t>
      </w:r>
      <w:r w:rsidRPr="006750F5">
        <w:rPr>
          <w:i/>
        </w:rPr>
        <w:t>køn, alder</w:t>
      </w:r>
      <w:r>
        <w:rPr>
          <w:i/>
        </w:rPr>
        <w:t xml:space="preserve"> </w:t>
      </w:r>
      <w:r>
        <w:t xml:space="preserve">og </w:t>
      </w:r>
      <w:r>
        <w:rPr>
          <w:i/>
        </w:rPr>
        <w:t xml:space="preserve">bopæl </w:t>
      </w:r>
      <w:r w:rsidRPr="006750F5">
        <w:t>for at afdække eventuelt signifikante sammenhænge.</w:t>
      </w:r>
      <w:r>
        <w:t xml:space="preserve"> </w:t>
      </w:r>
    </w:p>
    <w:p w:rsidR="00452EDC" w:rsidRDefault="00452EDC" w:rsidP="00452EDC"/>
    <w:p w:rsidR="00452EDC" w:rsidRDefault="00452EDC" w:rsidP="00452EDC">
      <w:r w:rsidRPr="00B23967">
        <w:rPr>
          <w:b/>
        </w:rPr>
        <w:t>NB:</w:t>
      </w:r>
      <w:r>
        <w:t xml:space="preserve"> Da disse spørgsmål kun er relevante for lærere og børnehaveklasseledere, er ledere og andre sorteret fra. På baggrund heraf er spørgsmålene heller ikke krydstabuleret med ba</w:t>
      </w:r>
      <w:r>
        <w:t>g</w:t>
      </w:r>
      <w:r>
        <w:t xml:space="preserve">grundsvariablen </w:t>
      </w:r>
      <w:r w:rsidRPr="00B23967">
        <w:rPr>
          <w:i/>
        </w:rPr>
        <w:t>stilling</w:t>
      </w:r>
      <w:r>
        <w:t xml:space="preserve">. </w:t>
      </w:r>
    </w:p>
    <w:p w:rsidR="00452EDC" w:rsidRDefault="00452EDC" w:rsidP="00452EDC"/>
    <w:p w:rsidR="00452EDC" w:rsidRPr="000612B6" w:rsidRDefault="00452EDC" w:rsidP="00452EDC">
      <w:pPr>
        <w:rPr>
          <w:b/>
          <w:sz w:val="36"/>
          <w:szCs w:val="36"/>
        </w:rPr>
      </w:pPr>
      <w:proofErr w:type="spellStart"/>
      <w:r w:rsidRPr="000612B6">
        <w:rPr>
          <w:b/>
          <w:sz w:val="36"/>
          <w:szCs w:val="36"/>
        </w:rPr>
        <w:t>Spm</w:t>
      </w:r>
      <w:proofErr w:type="spellEnd"/>
      <w:r w:rsidRPr="000612B6">
        <w:rPr>
          <w:b/>
          <w:sz w:val="36"/>
          <w:szCs w:val="36"/>
        </w:rPr>
        <w:t>. 27: Føler du, at du har frihed til at ytre dig offentligt om skolehverdagen i fx den lokale avis, pressen i øvrigt e</w:t>
      </w:r>
      <w:r w:rsidRPr="000612B6">
        <w:rPr>
          <w:b/>
          <w:sz w:val="36"/>
          <w:szCs w:val="36"/>
        </w:rPr>
        <w:t>l</w:t>
      </w:r>
      <w:r w:rsidRPr="000612B6">
        <w:rPr>
          <w:b/>
          <w:sz w:val="36"/>
          <w:szCs w:val="36"/>
        </w:rPr>
        <w:t>ler offentlige møder?</w:t>
      </w:r>
    </w:p>
    <w:p w:rsidR="00452EDC" w:rsidRDefault="00452EDC" w:rsidP="00452EDC"/>
    <w:p w:rsidR="00452EDC" w:rsidRDefault="00452EDC" w:rsidP="00452EDC">
      <w:pPr>
        <w:rPr>
          <w:b/>
        </w:rPr>
      </w:pPr>
      <w:r>
        <w:rPr>
          <w:b/>
        </w:rPr>
        <w:lastRenderedPageBreak/>
        <w:t>Figur 37</w:t>
      </w:r>
    </w:p>
    <w:p w:rsidR="00452EDC" w:rsidRDefault="00452EDC" w:rsidP="00452EDC">
      <w:pPr>
        <w:rPr>
          <w:b/>
        </w:rPr>
      </w:pPr>
    </w:p>
    <w:p w:rsidR="00452EDC" w:rsidRDefault="00452EDC" w:rsidP="00452EDC">
      <w:r>
        <w:rPr>
          <w:noProof/>
        </w:rPr>
        <w:drawing>
          <wp:inline distT="0" distB="0" distL="0" distR="0" wp14:anchorId="167E5615" wp14:editId="07B92C77">
            <wp:extent cx="4572000" cy="2743200"/>
            <wp:effectExtent l="0" t="0" r="25400" b="25400"/>
            <wp:docPr id="38" name="Diagram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2EDC" w:rsidRDefault="00452EDC" w:rsidP="00452EDC">
      <w:pPr>
        <w:rPr>
          <w:sz w:val="16"/>
        </w:rPr>
      </w:pPr>
      <w:r>
        <w:rPr>
          <w:sz w:val="16"/>
        </w:rPr>
        <w:t>N=472</w:t>
      </w:r>
    </w:p>
    <w:p w:rsidR="00452EDC" w:rsidRDefault="00452EDC" w:rsidP="00452EDC"/>
    <w:p w:rsidR="00452EDC" w:rsidRDefault="00452EDC" w:rsidP="00452EDC">
      <w:r>
        <w:t xml:space="preserve">Der findes ingen signifikante sammenhænge med undersøgelsens baggrundsvariable. </w:t>
      </w:r>
    </w:p>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Pr>
        <w:rPr>
          <w:i/>
        </w:rPr>
      </w:pPr>
      <w:r>
        <w:rPr>
          <w:i/>
        </w:rPr>
        <w:t xml:space="preserve">Det følgende spørgsmål er kun stillet til de respondenter, som i </w:t>
      </w:r>
      <w:proofErr w:type="spellStart"/>
      <w:r>
        <w:rPr>
          <w:i/>
        </w:rPr>
        <w:t>spm</w:t>
      </w:r>
      <w:proofErr w:type="spellEnd"/>
      <w:r>
        <w:rPr>
          <w:i/>
        </w:rPr>
        <w:t xml:space="preserve">. 27 svarede ”Ja, men kun hvis jeg ikke er kritisk” eller ”Nej”. </w:t>
      </w:r>
    </w:p>
    <w:p w:rsidR="00452EDC" w:rsidRDefault="00452EDC" w:rsidP="00452EDC">
      <w:pPr>
        <w:rPr>
          <w:i/>
        </w:rPr>
      </w:pPr>
    </w:p>
    <w:p w:rsidR="00452EDC" w:rsidRPr="00170F47" w:rsidRDefault="00452EDC" w:rsidP="00452EDC">
      <w:pPr>
        <w:rPr>
          <w:b/>
          <w:sz w:val="36"/>
          <w:szCs w:val="36"/>
        </w:rPr>
      </w:pPr>
      <w:proofErr w:type="spellStart"/>
      <w:r w:rsidRPr="00170F47">
        <w:rPr>
          <w:b/>
          <w:sz w:val="36"/>
          <w:szCs w:val="36"/>
        </w:rPr>
        <w:t>Spm</w:t>
      </w:r>
      <w:proofErr w:type="spellEnd"/>
      <w:r w:rsidRPr="00170F47">
        <w:rPr>
          <w:b/>
          <w:sz w:val="36"/>
          <w:szCs w:val="36"/>
        </w:rPr>
        <w:t>. 27a: Hvem indskrænker din ytringsfrihed?</w:t>
      </w:r>
    </w:p>
    <w:p w:rsidR="00452EDC" w:rsidRDefault="00452EDC" w:rsidP="00452EDC"/>
    <w:p w:rsidR="00452EDC" w:rsidRDefault="00452EDC" w:rsidP="00452EDC">
      <w:pPr>
        <w:rPr>
          <w:b/>
        </w:rPr>
      </w:pPr>
      <w:r w:rsidRPr="00CE4F17">
        <w:rPr>
          <w:b/>
        </w:rPr>
        <w:t>Figur 38</w:t>
      </w:r>
    </w:p>
    <w:p w:rsidR="00452EDC" w:rsidRDefault="00452EDC" w:rsidP="00452EDC">
      <w:pPr>
        <w:rPr>
          <w:b/>
        </w:rPr>
      </w:pPr>
    </w:p>
    <w:p w:rsidR="00452EDC" w:rsidRDefault="00452EDC" w:rsidP="00452EDC">
      <w:r>
        <w:rPr>
          <w:noProof/>
        </w:rPr>
        <w:lastRenderedPageBreak/>
        <w:drawing>
          <wp:inline distT="0" distB="0" distL="0" distR="0" wp14:anchorId="65EB739F" wp14:editId="14BF82EA">
            <wp:extent cx="4572000" cy="2743200"/>
            <wp:effectExtent l="0" t="0" r="25400" b="25400"/>
            <wp:docPr id="47" name="Diagram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52EDC" w:rsidRDefault="00452EDC" w:rsidP="00452EDC">
      <w:pPr>
        <w:rPr>
          <w:sz w:val="16"/>
        </w:rPr>
      </w:pPr>
      <w:r>
        <w:rPr>
          <w:sz w:val="16"/>
        </w:rPr>
        <w:t>N=249</w:t>
      </w:r>
    </w:p>
    <w:p w:rsidR="00452EDC" w:rsidRDefault="00452EDC" w:rsidP="00452EDC"/>
    <w:p w:rsidR="00452EDC" w:rsidRDefault="00452EDC" w:rsidP="00452EDC">
      <w:r>
        <w:t xml:space="preserve">Der findes ingen signifikante sammenhænge med undersøgelsens baggrundsvariable. </w:t>
      </w:r>
    </w:p>
    <w:p w:rsidR="00452EDC" w:rsidRDefault="00452EDC" w:rsidP="00452EDC"/>
    <w:p w:rsidR="00452EDC" w:rsidRDefault="00452EDC" w:rsidP="00452EDC">
      <w:r>
        <w:t xml:space="preserve">Besvarelser i svarkategorien </w:t>
      </w:r>
      <w:r>
        <w:rPr>
          <w:i/>
        </w:rPr>
        <w:t>Andre, skriv venligst hvem</w:t>
      </w:r>
      <w:r>
        <w:t xml:space="preserve"> kan findes i uredigeret form i bilag 48. </w:t>
      </w:r>
    </w:p>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Pr="00527944" w:rsidRDefault="00452EDC" w:rsidP="00452EDC">
      <w:pPr>
        <w:rPr>
          <w:b/>
          <w:sz w:val="36"/>
          <w:szCs w:val="36"/>
        </w:rPr>
      </w:pPr>
      <w:proofErr w:type="spellStart"/>
      <w:r w:rsidRPr="00527944">
        <w:rPr>
          <w:b/>
          <w:sz w:val="36"/>
          <w:szCs w:val="36"/>
        </w:rPr>
        <w:t>Spm</w:t>
      </w:r>
      <w:proofErr w:type="spellEnd"/>
      <w:r w:rsidRPr="00527944">
        <w:rPr>
          <w:b/>
          <w:sz w:val="36"/>
          <w:szCs w:val="36"/>
        </w:rPr>
        <w:t>. 28: Føler du, at du har frihed til at ytre dig på møder på skolen?</w:t>
      </w:r>
    </w:p>
    <w:p w:rsidR="00452EDC" w:rsidRPr="00D61F10" w:rsidRDefault="00452EDC" w:rsidP="00452EDC"/>
    <w:p w:rsidR="00452EDC" w:rsidRDefault="00452EDC" w:rsidP="00452EDC">
      <w:pPr>
        <w:rPr>
          <w:b/>
        </w:rPr>
      </w:pPr>
      <w:r>
        <w:rPr>
          <w:b/>
        </w:rPr>
        <w:t>Figur 39</w:t>
      </w:r>
    </w:p>
    <w:p w:rsidR="00452EDC" w:rsidRDefault="00452EDC" w:rsidP="00452EDC">
      <w:pPr>
        <w:rPr>
          <w:b/>
        </w:rPr>
      </w:pPr>
    </w:p>
    <w:p w:rsidR="00452EDC" w:rsidRDefault="00452EDC" w:rsidP="00452EDC">
      <w:r>
        <w:rPr>
          <w:noProof/>
        </w:rPr>
        <w:lastRenderedPageBreak/>
        <w:drawing>
          <wp:inline distT="0" distB="0" distL="0" distR="0" wp14:anchorId="120E10EB" wp14:editId="40ABCCE8">
            <wp:extent cx="4572000" cy="2743200"/>
            <wp:effectExtent l="0" t="0" r="25400" b="25400"/>
            <wp:docPr id="40" name="Diagram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2EDC" w:rsidRDefault="00452EDC" w:rsidP="00452EDC">
      <w:pPr>
        <w:rPr>
          <w:sz w:val="16"/>
        </w:rPr>
      </w:pPr>
      <w:r>
        <w:rPr>
          <w:sz w:val="16"/>
        </w:rPr>
        <w:t>N=471</w:t>
      </w:r>
    </w:p>
    <w:p w:rsidR="00452EDC" w:rsidRDefault="00452EDC" w:rsidP="00452EDC"/>
    <w:p w:rsidR="00452EDC" w:rsidRDefault="00452EDC" w:rsidP="00452EDC">
      <w:r>
        <w:t xml:space="preserve">Der findes ingen signifikante sammenhænge med undersøgelsens baggrundsvariable. </w:t>
      </w:r>
    </w:p>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Pr="007F1712" w:rsidRDefault="00452EDC" w:rsidP="00452EDC"/>
    <w:p w:rsidR="00452EDC" w:rsidRDefault="00452EDC" w:rsidP="00452EDC">
      <w:pPr>
        <w:rPr>
          <w:i/>
        </w:rPr>
      </w:pPr>
      <w:r>
        <w:rPr>
          <w:i/>
        </w:rPr>
        <w:t xml:space="preserve">Det følgende spørgsmål er kun stillet til de respondenter, som i </w:t>
      </w:r>
      <w:proofErr w:type="spellStart"/>
      <w:r>
        <w:rPr>
          <w:i/>
        </w:rPr>
        <w:t>spm</w:t>
      </w:r>
      <w:proofErr w:type="spellEnd"/>
      <w:r>
        <w:rPr>
          <w:i/>
        </w:rPr>
        <w:t xml:space="preserve">. 28 svarede ”Ja, men kun hvis jeg ikke er kritisk” eller ”Nej”. </w:t>
      </w:r>
    </w:p>
    <w:p w:rsidR="00452EDC" w:rsidRDefault="00452EDC" w:rsidP="00452EDC">
      <w:pPr>
        <w:rPr>
          <w:i/>
        </w:rPr>
      </w:pPr>
    </w:p>
    <w:p w:rsidR="00452EDC" w:rsidRPr="00170F47" w:rsidRDefault="00452EDC" w:rsidP="00452EDC">
      <w:pPr>
        <w:rPr>
          <w:b/>
          <w:sz w:val="36"/>
          <w:szCs w:val="36"/>
        </w:rPr>
      </w:pPr>
      <w:proofErr w:type="spellStart"/>
      <w:r>
        <w:rPr>
          <w:b/>
          <w:sz w:val="36"/>
          <w:szCs w:val="36"/>
        </w:rPr>
        <w:t>Spm</w:t>
      </w:r>
      <w:proofErr w:type="spellEnd"/>
      <w:r>
        <w:rPr>
          <w:b/>
          <w:sz w:val="36"/>
          <w:szCs w:val="36"/>
        </w:rPr>
        <w:t>. 28</w:t>
      </w:r>
      <w:r w:rsidRPr="00170F47">
        <w:rPr>
          <w:b/>
          <w:sz w:val="36"/>
          <w:szCs w:val="36"/>
        </w:rPr>
        <w:t>a: Hvem indskrænker din ytringsfrihed?</w:t>
      </w:r>
    </w:p>
    <w:p w:rsidR="00452EDC" w:rsidRDefault="00452EDC" w:rsidP="00452EDC"/>
    <w:p w:rsidR="00452EDC" w:rsidRDefault="00452EDC" w:rsidP="00452EDC">
      <w:pPr>
        <w:rPr>
          <w:b/>
        </w:rPr>
      </w:pPr>
      <w:r>
        <w:rPr>
          <w:b/>
        </w:rPr>
        <w:t>Figur 40</w:t>
      </w:r>
    </w:p>
    <w:p w:rsidR="00452EDC" w:rsidRDefault="00452EDC" w:rsidP="00452EDC"/>
    <w:p w:rsidR="00452EDC" w:rsidRDefault="00452EDC" w:rsidP="00452EDC">
      <w:r>
        <w:rPr>
          <w:noProof/>
        </w:rPr>
        <w:lastRenderedPageBreak/>
        <w:drawing>
          <wp:inline distT="0" distB="0" distL="0" distR="0" wp14:anchorId="19E0A957" wp14:editId="5ACD25E7">
            <wp:extent cx="4572000" cy="2743200"/>
            <wp:effectExtent l="0" t="0" r="25400" b="25400"/>
            <wp:docPr id="48" name="Diagram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2EDC" w:rsidRDefault="00452EDC" w:rsidP="00452EDC">
      <w:pPr>
        <w:rPr>
          <w:sz w:val="16"/>
        </w:rPr>
      </w:pPr>
      <w:r>
        <w:rPr>
          <w:sz w:val="16"/>
        </w:rPr>
        <w:t>N=132</w:t>
      </w:r>
    </w:p>
    <w:p w:rsidR="00452EDC" w:rsidRDefault="00452EDC" w:rsidP="00452EDC"/>
    <w:p w:rsidR="00452EDC" w:rsidRDefault="00452EDC" w:rsidP="00452EDC">
      <w:r>
        <w:t xml:space="preserve">Der findes ingen signifikante sammenhænge med undersøgelsens baggrundsvariable. </w:t>
      </w:r>
    </w:p>
    <w:p w:rsidR="00452EDC" w:rsidRDefault="00452EDC" w:rsidP="00452EDC"/>
    <w:p w:rsidR="00452EDC" w:rsidRDefault="00452EDC" w:rsidP="00452EDC">
      <w:r>
        <w:t xml:space="preserve">Besvarelser i svarkategorien </w:t>
      </w:r>
      <w:r>
        <w:rPr>
          <w:i/>
        </w:rPr>
        <w:t>Andre, skriv venligst hvem</w:t>
      </w:r>
      <w:r>
        <w:t xml:space="preserve"> kan findes i uredigeret form i bilag 49. </w:t>
      </w:r>
    </w:p>
    <w:p w:rsidR="00452EDC" w:rsidRDefault="00452EDC" w:rsidP="00452EDC"/>
    <w:p w:rsidR="00452EDC" w:rsidRDefault="00452EDC" w:rsidP="00452EDC">
      <w:r>
        <w:t xml:space="preserve">Respondenterne havde mulighed for at kommentere på problemstillingen vedr. ytringsfrihed. Se den fulde uredigerede liste med besvarelser i bilag 50. </w:t>
      </w:r>
    </w:p>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452EDC" w:rsidRDefault="00452EDC" w:rsidP="00452EDC"/>
    <w:p w:rsidR="001363A7" w:rsidRPr="000B18FF" w:rsidRDefault="00452EDC" w:rsidP="004154ED">
      <w:pPr>
        <w:rPr>
          <w:szCs w:val="23"/>
        </w:rPr>
      </w:pPr>
    </w:p>
    <w:sectPr w:rsidR="001363A7" w:rsidRPr="000B18FF" w:rsidSect="00E82F4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7B0" w:rsidRPr="003036D5" w:rsidRDefault="00452EDC" w:rsidP="00760CDB">
    <w:pPr>
      <w:pStyle w:val="Sidefod"/>
      <w:pBdr>
        <w:top w:val="dotted" w:sz="4" w:space="1" w:color="auto"/>
      </w:pBdr>
      <w:tabs>
        <w:tab w:val="clear" w:pos="9638"/>
        <w:tab w:val="right" w:pos="9923"/>
      </w:tabs>
      <w:ind w:left="-284" w:right="-285"/>
      <w:jc w:val="center"/>
      <w:rPr>
        <w:rFonts w:ascii="Calibri" w:hAnsi="Calibri"/>
        <w:sz w:val="22"/>
        <w:szCs w:val="22"/>
      </w:rPr>
    </w:pPr>
    <w:r w:rsidRPr="003036D5">
      <w:rPr>
        <w:rFonts w:ascii="Calibri" w:hAnsi="Calibri"/>
        <w:sz w:val="22"/>
        <w:szCs w:val="22"/>
      </w:rPr>
      <w:t xml:space="preserve">Side </w:t>
    </w:r>
    <w:r w:rsidRPr="003036D5">
      <w:rPr>
        <w:rFonts w:ascii="Calibri" w:hAnsi="Calibri"/>
        <w:sz w:val="22"/>
        <w:szCs w:val="22"/>
      </w:rPr>
      <w:fldChar w:fldCharType="begin"/>
    </w:r>
    <w:r w:rsidRPr="003036D5">
      <w:rPr>
        <w:rFonts w:ascii="Calibri" w:hAnsi="Calibri"/>
        <w:sz w:val="22"/>
        <w:szCs w:val="22"/>
      </w:rPr>
      <w:instrText xml:space="preserve"> PAGE </w:instrText>
    </w:r>
    <w:r w:rsidRPr="003036D5">
      <w:rPr>
        <w:rFonts w:ascii="Calibri" w:hAnsi="Calibri"/>
        <w:sz w:val="22"/>
        <w:szCs w:val="22"/>
      </w:rPr>
      <w:fldChar w:fldCharType="separate"/>
    </w:r>
    <w:r>
      <w:rPr>
        <w:rFonts w:ascii="Calibri" w:hAnsi="Calibri"/>
        <w:noProof/>
        <w:sz w:val="22"/>
        <w:szCs w:val="22"/>
      </w:rPr>
      <w:t>6</w:t>
    </w:r>
    <w:r w:rsidRPr="003036D5">
      <w:rPr>
        <w:rFonts w:ascii="Calibri" w:hAnsi="Calibri"/>
        <w:sz w:val="22"/>
        <w:szCs w:val="22"/>
      </w:rPr>
      <w:fldChar w:fldCharType="end"/>
    </w:r>
    <w:r w:rsidRPr="003036D5">
      <w:rPr>
        <w:rFonts w:ascii="Calibri" w:hAnsi="Calibri"/>
        <w:sz w:val="22"/>
        <w:szCs w:val="22"/>
      </w:rPr>
      <w:t xml:space="preserve"> af </w:t>
    </w:r>
    <w:r w:rsidRPr="003036D5">
      <w:rPr>
        <w:rFonts w:ascii="Calibri" w:hAnsi="Calibri"/>
        <w:sz w:val="22"/>
        <w:szCs w:val="22"/>
      </w:rPr>
      <w:fldChar w:fldCharType="begin"/>
    </w:r>
    <w:r w:rsidRPr="003036D5">
      <w:rPr>
        <w:rFonts w:ascii="Calibri" w:hAnsi="Calibri"/>
        <w:sz w:val="22"/>
        <w:szCs w:val="22"/>
      </w:rPr>
      <w:instrText xml:space="preserve"> NUMPAGES </w:instrText>
    </w:r>
    <w:r w:rsidRPr="003036D5">
      <w:rPr>
        <w:rFonts w:ascii="Calibri" w:hAnsi="Calibri"/>
        <w:sz w:val="22"/>
        <w:szCs w:val="22"/>
      </w:rPr>
      <w:fldChar w:fldCharType="separate"/>
    </w:r>
    <w:r>
      <w:rPr>
        <w:rFonts w:ascii="Calibri" w:hAnsi="Calibri"/>
        <w:noProof/>
        <w:sz w:val="22"/>
        <w:szCs w:val="22"/>
      </w:rPr>
      <w:t>10</w:t>
    </w:r>
    <w:r w:rsidRPr="003036D5">
      <w:rPr>
        <w:rFonts w:ascii="Calibri" w:hAnsi="Calibri"/>
        <w:sz w:val="22"/>
        <w:szCs w:val="2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7B0" w:rsidRPr="003036D5" w:rsidRDefault="00452EDC" w:rsidP="00760CDB">
    <w:pPr>
      <w:pStyle w:val="Sidehoved"/>
      <w:pBdr>
        <w:bottom w:val="dotted" w:sz="4" w:space="1" w:color="auto"/>
      </w:pBdr>
      <w:tabs>
        <w:tab w:val="clear" w:pos="9638"/>
        <w:tab w:val="right" w:pos="9923"/>
      </w:tabs>
      <w:ind w:left="-284" w:right="-285"/>
      <w:rPr>
        <w:rFonts w:ascii="Calibri" w:hAnsi="Calibri"/>
        <w:i/>
        <w:iCs/>
        <w:sz w:val="22"/>
        <w:szCs w:val="22"/>
      </w:rPr>
    </w:pPr>
    <w:r>
      <w:rPr>
        <w:rFonts w:ascii="Calibri" w:hAnsi="Calibri"/>
        <w:i/>
        <w:noProof/>
        <w:color w:val="0000FF"/>
        <w:sz w:val="22"/>
        <w:szCs w:val="22"/>
      </w:rPr>
      <w:drawing>
        <wp:inline distT="0" distB="0" distL="0" distR="0">
          <wp:extent cx="882650" cy="572770"/>
          <wp:effectExtent l="0" t="0" r="0" b="0"/>
          <wp:docPr id="2" name="Billede 2" descr="bill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50" cy="572770"/>
                  </a:xfrm>
                  <a:prstGeom prst="rect">
                    <a:avLst/>
                  </a:prstGeom>
                  <a:noFill/>
                  <a:ln>
                    <a:noFill/>
                  </a:ln>
                </pic:spPr>
              </pic:pic>
            </a:graphicData>
          </a:graphic>
        </wp:inline>
      </w:drawing>
    </w:r>
    <w:r w:rsidRPr="003036D5">
      <w:rPr>
        <w:rFonts w:ascii="Calibri" w:hAnsi="Calibri"/>
        <w:i/>
        <w:sz w:val="22"/>
        <w:szCs w:val="22"/>
      </w:rPr>
      <w:tab/>
      <w:t xml:space="preserve">      - </w:t>
    </w:r>
    <w:r w:rsidRPr="003036D5">
      <w:rPr>
        <w:rFonts w:ascii="Calibri" w:hAnsi="Calibri"/>
        <w:i/>
        <w:iCs/>
        <w:sz w:val="22"/>
        <w:szCs w:val="22"/>
      </w:rPr>
      <w:t>Panelun</w:t>
    </w:r>
    <w:r>
      <w:rPr>
        <w:rFonts w:ascii="Calibri" w:hAnsi="Calibri"/>
        <w:i/>
        <w:iCs/>
        <w:sz w:val="22"/>
        <w:szCs w:val="22"/>
      </w:rPr>
      <w:t>dersøgelse, Folkeskolen, september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autoHyphenation/>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DC"/>
    <w:rsid w:val="00027B72"/>
    <w:rsid w:val="000B18FF"/>
    <w:rsid w:val="00215C79"/>
    <w:rsid w:val="002E2E64"/>
    <w:rsid w:val="003065D7"/>
    <w:rsid w:val="003F67C1"/>
    <w:rsid w:val="004154ED"/>
    <w:rsid w:val="00424930"/>
    <w:rsid w:val="00452EDC"/>
    <w:rsid w:val="005413C0"/>
    <w:rsid w:val="007C461C"/>
    <w:rsid w:val="007F29FC"/>
    <w:rsid w:val="00826DA8"/>
    <w:rsid w:val="00871CC1"/>
    <w:rsid w:val="008A6B86"/>
    <w:rsid w:val="00B90643"/>
    <w:rsid w:val="00E247D4"/>
    <w:rsid w:val="00E55044"/>
    <w:rsid w:val="00E6628E"/>
    <w:rsid w:val="00E82F48"/>
    <w:rsid w:val="00EF70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EDC"/>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9"/>
    <w:qFormat/>
    <w:rsid w:val="00215C79"/>
    <w:pPr>
      <w:keepNext/>
      <w:keepLines/>
      <w:spacing w:before="480" w:line="276" w:lineRule="auto"/>
      <w:outlineLvl w:val="0"/>
    </w:pPr>
    <w:rPr>
      <w:rFonts w:ascii="Arial" w:eastAsiaTheme="majorEastAsia" w:hAnsi="Arial" w:cstheme="majorBidi"/>
      <w:b/>
      <w:bCs/>
      <w:color w:val="000000" w:themeColor="text1"/>
      <w:szCs w:val="28"/>
      <w:lang w:eastAsia="en-US"/>
    </w:rPr>
  </w:style>
  <w:style w:type="paragraph" w:styleId="Overskrift2">
    <w:name w:val="heading 2"/>
    <w:basedOn w:val="Normal"/>
    <w:next w:val="Normal"/>
    <w:link w:val="Overskrift2Tegn"/>
    <w:uiPriority w:val="99"/>
    <w:qFormat/>
    <w:rsid w:val="00452EDC"/>
    <w:pPr>
      <w:keepNext/>
      <w:spacing w:before="240" w:after="60"/>
      <w:outlineLvl w:val="1"/>
    </w:pPr>
    <w:rPr>
      <w:rFonts w:ascii="Cambria" w:hAnsi="Cambria"/>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215C79"/>
    <w:rPr>
      <w:rFonts w:ascii="Arial" w:eastAsiaTheme="majorEastAsia" w:hAnsi="Arial" w:cstheme="majorBidi"/>
      <w:b/>
      <w:bCs/>
      <w:color w:val="000000" w:themeColor="text1"/>
      <w:sz w:val="24"/>
      <w:szCs w:val="28"/>
    </w:rPr>
  </w:style>
  <w:style w:type="paragraph" w:styleId="Markeringsbobletekst">
    <w:name w:val="Balloon Text"/>
    <w:basedOn w:val="Normal"/>
    <w:link w:val="MarkeringsbobletekstTegn"/>
    <w:uiPriority w:val="99"/>
    <w:semiHidden/>
    <w:unhideWhenUsed/>
    <w:rsid w:val="00452ED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52EDC"/>
    <w:rPr>
      <w:rFonts w:ascii="Tahoma" w:eastAsia="Times New Roman" w:hAnsi="Tahoma" w:cs="Tahoma"/>
      <w:sz w:val="16"/>
      <w:szCs w:val="16"/>
      <w:lang w:eastAsia="da-DK"/>
    </w:rPr>
  </w:style>
  <w:style w:type="character" w:customStyle="1" w:styleId="Overskrift2Tegn">
    <w:name w:val="Overskrift 2 Tegn"/>
    <w:basedOn w:val="Standardskrifttypeiafsnit"/>
    <w:link w:val="Overskrift2"/>
    <w:uiPriority w:val="99"/>
    <w:rsid w:val="00452EDC"/>
    <w:rPr>
      <w:rFonts w:ascii="Cambria" w:eastAsia="Times New Roman" w:hAnsi="Cambria" w:cs="Times New Roman"/>
      <w:b/>
      <w:bCs/>
      <w:i/>
      <w:iCs/>
      <w:sz w:val="28"/>
      <w:szCs w:val="28"/>
      <w:lang w:eastAsia="da-DK"/>
    </w:rPr>
  </w:style>
  <w:style w:type="paragraph" w:styleId="Sidehoved">
    <w:name w:val="header"/>
    <w:basedOn w:val="Normal"/>
    <w:link w:val="SidehovedTegn"/>
    <w:uiPriority w:val="99"/>
    <w:rsid w:val="00452EDC"/>
    <w:pPr>
      <w:tabs>
        <w:tab w:val="center" w:pos="4819"/>
        <w:tab w:val="right" w:pos="9638"/>
      </w:tabs>
    </w:pPr>
  </w:style>
  <w:style w:type="character" w:customStyle="1" w:styleId="SidehovedTegn">
    <w:name w:val="Sidehoved Tegn"/>
    <w:basedOn w:val="Standardskrifttypeiafsnit"/>
    <w:link w:val="Sidehoved"/>
    <w:uiPriority w:val="99"/>
    <w:rsid w:val="00452EDC"/>
    <w:rPr>
      <w:rFonts w:ascii="Times New Roman" w:eastAsia="Times New Roman" w:hAnsi="Times New Roman" w:cs="Times New Roman"/>
      <w:sz w:val="24"/>
      <w:szCs w:val="24"/>
      <w:lang w:eastAsia="da-DK"/>
    </w:rPr>
  </w:style>
  <w:style w:type="paragraph" w:styleId="Sidefod">
    <w:name w:val="footer"/>
    <w:basedOn w:val="Normal"/>
    <w:link w:val="SidefodTegn"/>
    <w:uiPriority w:val="99"/>
    <w:rsid w:val="00452EDC"/>
    <w:pPr>
      <w:tabs>
        <w:tab w:val="center" w:pos="4819"/>
        <w:tab w:val="right" w:pos="9638"/>
      </w:tabs>
    </w:pPr>
  </w:style>
  <w:style w:type="character" w:customStyle="1" w:styleId="SidefodTegn">
    <w:name w:val="Sidefod Tegn"/>
    <w:basedOn w:val="Standardskrifttypeiafsnit"/>
    <w:link w:val="Sidefod"/>
    <w:uiPriority w:val="99"/>
    <w:rsid w:val="00452EDC"/>
    <w:rPr>
      <w:rFonts w:ascii="Times New Roman" w:eastAsia="Times New Roman" w:hAnsi="Times New Roman" w:cs="Times New Roman"/>
      <w:sz w:val="24"/>
      <w:szCs w:val="24"/>
      <w:lang w:eastAsia="da-DK"/>
    </w:rPr>
  </w:style>
  <w:style w:type="paragraph" w:customStyle="1" w:styleId="Standard">
    <w:name w:val="Standard"/>
    <w:basedOn w:val="Normal"/>
    <w:uiPriority w:val="99"/>
    <w:rsid w:val="00452ED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EDC"/>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9"/>
    <w:qFormat/>
    <w:rsid w:val="00215C79"/>
    <w:pPr>
      <w:keepNext/>
      <w:keepLines/>
      <w:spacing w:before="480" w:line="276" w:lineRule="auto"/>
      <w:outlineLvl w:val="0"/>
    </w:pPr>
    <w:rPr>
      <w:rFonts w:ascii="Arial" w:eastAsiaTheme="majorEastAsia" w:hAnsi="Arial" w:cstheme="majorBidi"/>
      <w:b/>
      <w:bCs/>
      <w:color w:val="000000" w:themeColor="text1"/>
      <w:szCs w:val="28"/>
      <w:lang w:eastAsia="en-US"/>
    </w:rPr>
  </w:style>
  <w:style w:type="paragraph" w:styleId="Overskrift2">
    <w:name w:val="heading 2"/>
    <w:basedOn w:val="Normal"/>
    <w:next w:val="Normal"/>
    <w:link w:val="Overskrift2Tegn"/>
    <w:uiPriority w:val="99"/>
    <w:qFormat/>
    <w:rsid w:val="00452EDC"/>
    <w:pPr>
      <w:keepNext/>
      <w:spacing w:before="240" w:after="60"/>
      <w:outlineLvl w:val="1"/>
    </w:pPr>
    <w:rPr>
      <w:rFonts w:ascii="Cambria" w:hAnsi="Cambria"/>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215C79"/>
    <w:rPr>
      <w:rFonts w:ascii="Arial" w:eastAsiaTheme="majorEastAsia" w:hAnsi="Arial" w:cstheme="majorBidi"/>
      <w:b/>
      <w:bCs/>
      <w:color w:val="000000" w:themeColor="text1"/>
      <w:sz w:val="24"/>
      <w:szCs w:val="28"/>
    </w:rPr>
  </w:style>
  <w:style w:type="paragraph" w:styleId="Markeringsbobletekst">
    <w:name w:val="Balloon Text"/>
    <w:basedOn w:val="Normal"/>
    <w:link w:val="MarkeringsbobletekstTegn"/>
    <w:uiPriority w:val="99"/>
    <w:semiHidden/>
    <w:unhideWhenUsed/>
    <w:rsid w:val="00452ED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52EDC"/>
    <w:rPr>
      <w:rFonts w:ascii="Tahoma" w:eastAsia="Times New Roman" w:hAnsi="Tahoma" w:cs="Tahoma"/>
      <w:sz w:val="16"/>
      <w:szCs w:val="16"/>
      <w:lang w:eastAsia="da-DK"/>
    </w:rPr>
  </w:style>
  <w:style w:type="character" w:customStyle="1" w:styleId="Overskrift2Tegn">
    <w:name w:val="Overskrift 2 Tegn"/>
    <w:basedOn w:val="Standardskrifttypeiafsnit"/>
    <w:link w:val="Overskrift2"/>
    <w:uiPriority w:val="99"/>
    <w:rsid w:val="00452EDC"/>
    <w:rPr>
      <w:rFonts w:ascii="Cambria" w:eastAsia="Times New Roman" w:hAnsi="Cambria" w:cs="Times New Roman"/>
      <w:b/>
      <w:bCs/>
      <w:i/>
      <w:iCs/>
      <w:sz w:val="28"/>
      <w:szCs w:val="28"/>
      <w:lang w:eastAsia="da-DK"/>
    </w:rPr>
  </w:style>
  <w:style w:type="paragraph" w:styleId="Sidehoved">
    <w:name w:val="header"/>
    <w:basedOn w:val="Normal"/>
    <w:link w:val="SidehovedTegn"/>
    <w:uiPriority w:val="99"/>
    <w:rsid w:val="00452EDC"/>
    <w:pPr>
      <w:tabs>
        <w:tab w:val="center" w:pos="4819"/>
        <w:tab w:val="right" w:pos="9638"/>
      </w:tabs>
    </w:pPr>
  </w:style>
  <w:style w:type="character" w:customStyle="1" w:styleId="SidehovedTegn">
    <w:name w:val="Sidehoved Tegn"/>
    <w:basedOn w:val="Standardskrifttypeiafsnit"/>
    <w:link w:val="Sidehoved"/>
    <w:uiPriority w:val="99"/>
    <w:rsid w:val="00452EDC"/>
    <w:rPr>
      <w:rFonts w:ascii="Times New Roman" w:eastAsia="Times New Roman" w:hAnsi="Times New Roman" w:cs="Times New Roman"/>
      <w:sz w:val="24"/>
      <w:szCs w:val="24"/>
      <w:lang w:eastAsia="da-DK"/>
    </w:rPr>
  </w:style>
  <w:style w:type="paragraph" w:styleId="Sidefod">
    <w:name w:val="footer"/>
    <w:basedOn w:val="Normal"/>
    <w:link w:val="SidefodTegn"/>
    <w:uiPriority w:val="99"/>
    <w:rsid w:val="00452EDC"/>
    <w:pPr>
      <w:tabs>
        <w:tab w:val="center" w:pos="4819"/>
        <w:tab w:val="right" w:pos="9638"/>
      </w:tabs>
    </w:pPr>
  </w:style>
  <w:style w:type="character" w:customStyle="1" w:styleId="SidefodTegn">
    <w:name w:val="Sidefod Tegn"/>
    <w:basedOn w:val="Standardskrifttypeiafsnit"/>
    <w:link w:val="Sidefod"/>
    <w:uiPriority w:val="99"/>
    <w:rsid w:val="00452EDC"/>
    <w:rPr>
      <w:rFonts w:ascii="Times New Roman" w:eastAsia="Times New Roman" w:hAnsi="Times New Roman" w:cs="Times New Roman"/>
      <w:sz w:val="24"/>
      <w:szCs w:val="24"/>
      <w:lang w:eastAsia="da-DK"/>
    </w:rPr>
  </w:style>
  <w:style w:type="paragraph" w:customStyle="1" w:styleId="Standard">
    <w:name w:val="Standard"/>
    <w:basedOn w:val="Normal"/>
    <w:uiPriority w:val="99"/>
    <w:rsid w:val="00452ED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webbyen.dk/vishjemmeside.asp?mode=top_frame&amp;id=373190&amp;side=&amp;websi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Projektmappe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christiandamsgaard:Dropbox:Scharling%20Research:Scharling%20Research%20(2014-):Folkeskolen:Folkeskolen%20-%20Reformopf&#248;lgning%20(September%202014):Figurer:ald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Projektmappe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christiandamsgaard:Dropbox:Scharling%20Research:Scharling%20Research%20(2014-):Folkeskolen:Folkeskolen%20-%20Reformopf&#248;lgning%20(September%202014):Figurer:stilling.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christiandamsgaard:Dropbox:Scharling%20Research:Scharling%20Research%20(2014-):Folkeskolen:Folkeskolen%20-%20Reformopf&#248;lgning%20(September%202014):Figurer:spm2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christiandamsgaard:Dropbox:Scharling%20Research:Scharling%20Research%20(2014-):Folkeskolen:Folkeskolen%20-%20Reformopf&#248;lgning%20(September%202014):Figurer:spm27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christiandamsgaard:Dropbox:Scharling%20Research:Scharling%20Research%20(2014-):Folkeskolen:Folkeskolen%20-%20Reformopf&#248;lgning%20(September%202014):Figurer:spm2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christiandamsgaard:Dropbox:Scharling%20Research:Scharling%20Research%20(2014-):Folkeskolen:Folkeskolen%20-%20Reformopf&#248;lgning%20(September%202014):Figurer:spm28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1"/>
            <c:showCatName val="0"/>
            <c:showSerName val="0"/>
            <c:showPercent val="0"/>
            <c:showBubbleSize val="0"/>
            <c:showLeaderLines val="1"/>
          </c:dLbls>
          <c:cat>
            <c:strRef>
              <c:f>'Ark1'!$A$3:$A$4</c:f>
              <c:strCache>
                <c:ptCount val="2"/>
                <c:pt idx="0">
                  <c:v>Mand</c:v>
                </c:pt>
                <c:pt idx="1">
                  <c:v>Kvinde</c:v>
                </c:pt>
              </c:strCache>
            </c:strRef>
          </c:cat>
          <c:val>
            <c:numRef>
              <c:f>'Ark1'!$B$3:$B$4</c:f>
              <c:numCache>
                <c:formatCode>0%</c:formatCode>
                <c:ptCount val="2"/>
                <c:pt idx="0">
                  <c:v>0.31000000000000011</c:v>
                </c:pt>
                <c:pt idx="1">
                  <c:v>0.69000000000000028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'[alder.xlsx]Ark1'!$A$3:$A$7</c:f>
              <c:strCache>
                <c:ptCount val="5"/>
                <c:pt idx="0">
                  <c:v>Under 30 år</c:v>
                </c:pt>
                <c:pt idx="1">
                  <c:v>30-39 år</c:v>
                </c:pt>
                <c:pt idx="2">
                  <c:v>40-49 år</c:v>
                </c:pt>
                <c:pt idx="3">
                  <c:v>50-59 år</c:v>
                </c:pt>
                <c:pt idx="4">
                  <c:v>Over 60 år</c:v>
                </c:pt>
              </c:strCache>
            </c:strRef>
          </c:cat>
          <c:val>
            <c:numRef>
              <c:f>'[alder.xlsx]Ark1'!$B$3:$B$7</c:f>
              <c:numCache>
                <c:formatCode>0%</c:formatCode>
                <c:ptCount val="5"/>
                <c:pt idx="0">
                  <c:v>2.0000000000000007E-2</c:v>
                </c:pt>
                <c:pt idx="1">
                  <c:v>0.2</c:v>
                </c:pt>
                <c:pt idx="2">
                  <c:v>0.3000000000000001</c:v>
                </c:pt>
                <c:pt idx="3">
                  <c:v>0.31000000000000011</c:v>
                </c:pt>
                <c:pt idx="4">
                  <c:v>0.17</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'Ark1'!$A$3:$A$6</c:f>
              <c:strCache>
                <c:ptCount val="4"/>
                <c:pt idx="0">
                  <c:v>Jylland</c:v>
                </c:pt>
                <c:pt idx="1">
                  <c:v>Fyn og øerne vest for Storebælt </c:v>
                </c:pt>
                <c:pt idx="2">
                  <c:v>Sjælland og øerne øst for Storebælt</c:v>
                </c:pt>
                <c:pt idx="3">
                  <c:v>København/Frederiksberg </c:v>
                </c:pt>
              </c:strCache>
            </c:strRef>
          </c:cat>
          <c:val>
            <c:numRef>
              <c:f>'Ark1'!$B$3:$B$6</c:f>
              <c:numCache>
                <c:formatCode>0%</c:formatCode>
                <c:ptCount val="4"/>
                <c:pt idx="0">
                  <c:v>0.4900000000000001</c:v>
                </c:pt>
                <c:pt idx="1">
                  <c:v>9.0000000000000024E-2</c:v>
                </c:pt>
                <c:pt idx="2">
                  <c:v>0.26</c:v>
                </c:pt>
                <c:pt idx="3">
                  <c:v>0.16</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'Ark1'!$A$3:$A$6</c:f>
              <c:strCache>
                <c:ptCount val="4"/>
                <c:pt idx="0">
                  <c:v>Skoleleder</c:v>
                </c:pt>
                <c:pt idx="1">
                  <c:v>Lærer/Overlærer</c:v>
                </c:pt>
                <c:pt idx="2">
                  <c:v>Børnehaveklassepædagog/Børnehaveklasseleder</c:v>
                </c:pt>
                <c:pt idx="3">
                  <c:v>Andet</c:v>
                </c:pt>
              </c:strCache>
            </c:strRef>
          </c:cat>
          <c:val>
            <c:numRef>
              <c:f>'Ark1'!$B$3:$B$6</c:f>
              <c:numCache>
                <c:formatCode>0%</c:formatCode>
                <c:ptCount val="4"/>
                <c:pt idx="0">
                  <c:v>2.0000000000000007E-2</c:v>
                </c:pt>
                <c:pt idx="1">
                  <c:v>0.88</c:v>
                </c:pt>
                <c:pt idx="2">
                  <c:v>2.0000000000000007E-2</c:v>
                </c:pt>
                <c:pt idx="3">
                  <c:v>8.0000000000000029E-2</c:v>
                </c:pt>
              </c:numCache>
            </c:numRef>
          </c:val>
        </c:ser>
        <c:dLbls>
          <c:showLegendKey val="0"/>
          <c:showVal val="0"/>
          <c:showCatName val="0"/>
          <c:showSerName val="0"/>
          <c:showPercent val="0"/>
          <c:showBubbleSize val="0"/>
        </c:dLbls>
        <c:gapWidth val="150"/>
        <c:axId val="131078400"/>
        <c:axId val="189300736"/>
      </c:barChart>
      <c:catAx>
        <c:axId val="131078400"/>
        <c:scaling>
          <c:orientation val="minMax"/>
        </c:scaling>
        <c:delete val="0"/>
        <c:axPos val="b"/>
        <c:majorTickMark val="out"/>
        <c:minorTickMark val="none"/>
        <c:tickLblPos val="nextTo"/>
        <c:crossAx val="189300736"/>
        <c:crosses val="autoZero"/>
        <c:auto val="1"/>
        <c:lblAlgn val="ctr"/>
        <c:lblOffset val="100"/>
        <c:noMultiLvlLbl val="0"/>
      </c:catAx>
      <c:valAx>
        <c:axId val="189300736"/>
        <c:scaling>
          <c:orientation val="minMax"/>
        </c:scaling>
        <c:delete val="0"/>
        <c:axPos val="l"/>
        <c:majorGridlines>
          <c:spPr>
            <a:ln>
              <a:noFill/>
            </a:ln>
          </c:spPr>
        </c:majorGridlines>
        <c:numFmt formatCode="0%" sourceLinked="1"/>
        <c:majorTickMark val="out"/>
        <c:minorTickMark val="none"/>
        <c:tickLblPos val="nextTo"/>
        <c:crossAx val="13107840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dPt>
            <c:idx val="1"/>
            <c:invertIfNegative val="0"/>
            <c:bubble3D val="0"/>
            <c:spPr>
              <a:solidFill>
                <a:srgbClr val="C0504D"/>
              </a:solidFill>
            </c:spPr>
          </c:dPt>
          <c:dPt>
            <c:idx val="2"/>
            <c:invertIfNegative val="0"/>
            <c:bubble3D val="0"/>
            <c:spPr>
              <a:solidFill>
                <a:srgbClr val="C0504D"/>
              </a:solidFill>
            </c:spPr>
          </c:dPt>
          <c:dLbls>
            <c:showLegendKey val="0"/>
            <c:showVal val="1"/>
            <c:showCatName val="0"/>
            <c:showSerName val="0"/>
            <c:showPercent val="0"/>
            <c:showBubbleSize val="0"/>
            <c:showLeaderLines val="0"/>
          </c:dLbls>
          <c:cat>
            <c:strRef>
              <c:f>'Ark1'!$A$3:$A$6</c:f>
              <c:strCache>
                <c:ptCount val="4"/>
                <c:pt idx="0">
                  <c:v>Ja</c:v>
                </c:pt>
                <c:pt idx="1">
                  <c:v>Ja, men kun hvis jeg ikke er kritisk</c:v>
                </c:pt>
                <c:pt idx="2">
                  <c:v>Nej</c:v>
                </c:pt>
                <c:pt idx="3">
                  <c:v>Ved ikke</c:v>
                </c:pt>
              </c:strCache>
            </c:strRef>
          </c:cat>
          <c:val>
            <c:numRef>
              <c:f>'Ark1'!$B$3:$B$6</c:f>
              <c:numCache>
                <c:formatCode>0%</c:formatCode>
                <c:ptCount val="4"/>
                <c:pt idx="0">
                  <c:v>0.25</c:v>
                </c:pt>
                <c:pt idx="1">
                  <c:v>0.19</c:v>
                </c:pt>
                <c:pt idx="2">
                  <c:v>0.34</c:v>
                </c:pt>
                <c:pt idx="3">
                  <c:v>0.22</c:v>
                </c:pt>
              </c:numCache>
            </c:numRef>
          </c:val>
        </c:ser>
        <c:dLbls>
          <c:showLegendKey val="0"/>
          <c:showVal val="0"/>
          <c:showCatName val="0"/>
          <c:showSerName val="0"/>
          <c:showPercent val="0"/>
          <c:showBubbleSize val="0"/>
        </c:dLbls>
        <c:gapWidth val="150"/>
        <c:axId val="171621760"/>
        <c:axId val="192097280"/>
      </c:barChart>
      <c:catAx>
        <c:axId val="171621760"/>
        <c:scaling>
          <c:orientation val="minMax"/>
        </c:scaling>
        <c:delete val="0"/>
        <c:axPos val="b"/>
        <c:majorTickMark val="out"/>
        <c:minorTickMark val="none"/>
        <c:tickLblPos val="nextTo"/>
        <c:crossAx val="192097280"/>
        <c:crosses val="autoZero"/>
        <c:auto val="1"/>
        <c:lblAlgn val="ctr"/>
        <c:lblOffset val="100"/>
        <c:noMultiLvlLbl val="0"/>
      </c:catAx>
      <c:valAx>
        <c:axId val="192097280"/>
        <c:scaling>
          <c:orientation val="minMax"/>
        </c:scaling>
        <c:delete val="0"/>
        <c:axPos val="l"/>
        <c:majorGridlines>
          <c:spPr>
            <a:ln>
              <a:noFill/>
            </a:ln>
          </c:spPr>
        </c:majorGridlines>
        <c:numFmt formatCode="0%" sourceLinked="1"/>
        <c:majorTickMark val="out"/>
        <c:minorTickMark val="none"/>
        <c:tickLblPos val="nextTo"/>
        <c:crossAx val="17162176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'Ark1'!$A$3:$A$8</c:f>
              <c:strCache>
                <c:ptCount val="6"/>
                <c:pt idx="0">
                  <c:v>Ved ikke (22)</c:v>
                </c:pt>
                <c:pt idx="1">
                  <c:v>Andre, skriv venligst hvem (30)</c:v>
                </c:pt>
                <c:pt idx="2">
                  <c:v>Kolleger (8)</c:v>
                </c:pt>
                <c:pt idx="3">
                  <c:v>Tillidsrepræsentanten (10)</c:v>
                </c:pt>
                <c:pt idx="4">
                  <c:v>Skolelederen (134)</c:v>
                </c:pt>
                <c:pt idx="5">
                  <c:v>Kommunen (142)</c:v>
                </c:pt>
              </c:strCache>
            </c:strRef>
          </c:cat>
          <c:val>
            <c:numRef>
              <c:f>'Ark1'!$B$3:$B$8</c:f>
              <c:numCache>
                <c:formatCode>0%</c:formatCode>
                <c:ptCount val="6"/>
                <c:pt idx="0">
                  <c:v>9.0000000000000024E-2</c:v>
                </c:pt>
                <c:pt idx="1">
                  <c:v>0.12000000000000002</c:v>
                </c:pt>
                <c:pt idx="2">
                  <c:v>3.0000000000000002E-2</c:v>
                </c:pt>
                <c:pt idx="3">
                  <c:v>4.0000000000000015E-2</c:v>
                </c:pt>
                <c:pt idx="4">
                  <c:v>0.54</c:v>
                </c:pt>
                <c:pt idx="5">
                  <c:v>0.57000000000000017</c:v>
                </c:pt>
              </c:numCache>
            </c:numRef>
          </c:val>
        </c:ser>
        <c:dLbls>
          <c:showLegendKey val="0"/>
          <c:showVal val="0"/>
          <c:showCatName val="0"/>
          <c:showSerName val="0"/>
          <c:showPercent val="0"/>
          <c:showBubbleSize val="0"/>
        </c:dLbls>
        <c:gapWidth val="150"/>
        <c:axId val="156486656"/>
        <c:axId val="131101440"/>
      </c:barChart>
      <c:catAx>
        <c:axId val="156486656"/>
        <c:scaling>
          <c:orientation val="minMax"/>
        </c:scaling>
        <c:delete val="0"/>
        <c:axPos val="l"/>
        <c:majorTickMark val="out"/>
        <c:minorTickMark val="none"/>
        <c:tickLblPos val="nextTo"/>
        <c:crossAx val="131101440"/>
        <c:crosses val="autoZero"/>
        <c:auto val="1"/>
        <c:lblAlgn val="ctr"/>
        <c:lblOffset val="100"/>
        <c:noMultiLvlLbl val="0"/>
      </c:catAx>
      <c:valAx>
        <c:axId val="131101440"/>
        <c:scaling>
          <c:orientation val="minMax"/>
        </c:scaling>
        <c:delete val="0"/>
        <c:axPos val="b"/>
        <c:majorGridlines>
          <c:spPr>
            <a:ln>
              <a:noFill/>
            </a:ln>
          </c:spPr>
        </c:majorGridlines>
        <c:numFmt formatCode="0%" sourceLinked="1"/>
        <c:majorTickMark val="out"/>
        <c:minorTickMark val="none"/>
        <c:tickLblPos val="nextTo"/>
        <c:crossAx val="15648665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dPt>
            <c:idx val="1"/>
            <c:invertIfNegative val="0"/>
            <c:bubble3D val="0"/>
            <c:spPr>
              <a:solidFill>
                <a:srgbClr val="C0504D"/>
              </a:solidFill>
            </c:spPr>
          </c:dPt>
          <c:dPt>
            <c:idx val="2"/>
            <c:invertIfNegative val="0"/>
            <c:bubble3D val="0"/>
            <c:spPr>
              <a:solidFill>
                <a:srgbClr val="C0504D"/>
              </a:solidFill>
            </c:spPr>
          </c:dPt>
          <c:dLbls>
            <c:showLegendKey val="0"/>
            <c:showVal val="1"/>
            <c:showCatName val="0"/>
            <c:showSerName val="0"/>
            <c:showPercent val="0"/>
            <c:showBubbleSize val="0"/>
            <c:showLeaderLines val="0"/>
          </c:dLbls>
          <c:cat>
            <c:strRef>
              <c:f>'[spm28.xlsx]Ark1'!$A$3:$A$6</c:f>
              <c:strCache>
                <c:ptCount val="4"/>
                <c:pt idx="0">
                  <c:v>Ja</c:v>
                </c:pt>
                <c:pt idx="1">
                  <c:v>Ja, men kun hvis jeg ikke er kritisk</c:v>
                </c:pt>
                <c:pt idx="2">
                  <c:v>Nej</c:v>
                </c:pt>
                <c:pt idx="3">
                  <c:v>Ved ikke</c:v>
                </c:pt>
              </c:strCache>
            </c:strRef>
          </c:cat>
          <c:val>
            <c:numRef>
              <c:f>'[spm28.xlsx]Ark1'!$B$3:$B$6</c:f>
              <c:numCache>
                <c:formatCode>0%</c:formatCode>
                <c:ptCount val="4"/>
                <c:pt idx="0">
                  <c:v>0.65000000000000024</c:v>
                </c:pt>
                <c:pt idx="1">
                  <c:v>0.2</c:v>
                </c:pt>
                <c:pt idx="2">
                  <c:v>8.0000000000000029E-2</c:v>
                </c:pt>
                <c:pt idx="3">
                  <c:v>7.0000000000000021E-2</c:v>
                </c:pt>
              </c:numCache>
            </c:numRef>
          </c:val>
        </c:ser>
        <c:dLbls>
          <c:showLegendKey val="0"/>
          <c:showVal val="0"/>
          <c:showCatName val="0"/>
          <c:showSerName val="0"/>
          <c:showPercent val="0"/>
          <c:showBubbleSize val="0"/>
        </c:dLbls>
        <c:gapWidth val="150"/>
        <c:axId val="176293376"/>
        <c:axId val="176294912"/>
      </c:barChart>
      <c:catAx>
        <c:axId val="176293376"/>
        <c:scaling>
          <c:orientation val="minMax"/>
        </c:scaling>
        <c:delete val="0"/>
        <c:axPos val="b"/>
        <c:majorTickMark val="out"/>
        <c:minorTickMark val="none"/>
        <c:tickLblPos val="nextTo"/>
        <c:crossAx val="176294912"/>
        <c:crosses val="autoZero"/>
        <c:auto val="1"/>
        <c:lblAlgn val="ctr"/>
        <c:lblOffset val="100"/>
        <c:noMultiLvlLbl val="0"/>
      </c:catAx>
      <c:valAx>
        <c:axId val="176294912"/>
        <c:scaling>
          <c:orientation val="minMax"/>
        </c:scaling>
        <c:delete val="0"/>
        <c:axPos val="l"/>
        <c:majorGridlines>
          <c:spPr>
            <a:ln>
              <a:noFill/>
            </a:ln>
          </c:spPr>
        </c:majorGridlines>
        <c:numFmt formatCode="0%" sourceLinked="1"/>
        <c:majorTickMark val="out"/>
        <c:minorTickMark val="none"/>
        <c:tickLblPos val="nextTo"/>
        <c:crossAx val="17629337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'[spm28a.xlsx]Ark1'!$A$3:$A$8</c:f>
              <c:strCache>
                <c:ptCount val="6"/>
                <c:pt idx="0">
                  <c:v>Ved ikke (8)</c:v>
                </c:pt>
                <c:pt idx="1">
                  <c:v>Andre, skriv venligst hvem (10)</c:v>
                </c:pt>
                <c:pt idx="2">
                  <c:v>Kolleger (12)</c:v>
                </c:pt>
                <c:pt idx="3">
                  <c:v>Tillidsrepræsentanten (6)</c:v>
                </c:pt>
                <c:pt idx="4">
                  <c:v>Skolelederen (110)</c:v>
                </c:pt>
                <c:pt idx="5">
                  <c:v>Kommunen (23)</c:v>
                </c:pt>
              </c:strCache>
            </c:strRef>
          </c:cat>
          <c:val>
            <c:numRef>
              <c:f>'[spm28a.xlsx]Ark1'!$B$3:$B$8</c:f>
              <c:numCache>
                <c:formatCode>0%</c:formatCode>
                <c:ptCount val="6"/>
                <c:pt idx="0">
                  <c:v>6.0000000000000019E-2</c:v>
                </c:pt>
                <c:pt idx="1">
                  <c:v>8.0000000000000029E-2</c:v>
                </c:pt>
                <c:pt idx="2">
                  <c:v>9.0000000000000024E-2</c:v>
                </c:pt>
                <c:pt idx="3">
                  <c:v>0.05</c:v>
                </c:pt>
                <c:pt idx="4">
                  <c:v>0.83000000000000018</c:v>
                </c:pt>
                <c:pt idx="5">
                  <c:v>0.17</c:v>
                </c:pt>
              </c:numCache>
            </c:numRef>
          </c:val>
        </c:ser>
        <c:dLbls>
          <c:showLegendKey val="0"/>
          <c:showVal val="0"/>
          <c:showCatName val="0"/>
          <c:showSerName val="0"/>
          <c:showPercent val="0"/>
          <c:showBubbleSize val="0"/>
        </c:dLbls>
        <c:gapWidth val="150"/>
        <c:axId val="176307200"/>
        <c:axId val="176354048"/>
      </c:barChart>
      <c:catAx>
        <c:axId val="176307200"/>
        <c:scaling>
          <c:orientation val="minMax"/>
        </c:scaling>
        <c:delete val="0"/>
        <c:axPos val="l"/>
        <c:majorTickMark val="out"/>
        <c:minorTickMark val="none"/>
        <c:tickLblPos val="nextTo"/>
        <c:crossAx val="176354048"/>
        <c:crosses val="autoZero"/>
        <c:auto val="1"/>
        <c:lblAlgn val="ctr"/>
        <c:lblOffset val="100"/>
        <c:noMultiLvlLbl val="0"/>
      </c:catAx>
      <c:valAx>
        <c:axId val="176354048"/>
        <c:scaling>
          <c:orientation val="minMax"/>
        </c:scaling>
        <c:delete val="0"/>
        <c:axPos val="b"/>
        <c:majorGridlines>
          <c:spPr>
            <a:ln>
              <a:noFill/>
            </a:ln>
          </c:spPr>
        </c:majorGridlines>
        <c:numFmt formatCode="0%" sourceLinked="1"/>
        <c:majorTickMark val="out"/>
        <c:minorTickMark val="none"/>
        <c:tickLblPos val="nextTo"/>
        <c:crossAx val="1763072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7E243-9EA2-4F93-9A96-C9DFF983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3235CB7</Template>
  <TotalTime>0</TotalTime>
  <Pages>10</Pages>
  <Words>1186</Words>
  <Characters>7238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Esben Christensen</dc:creator>
  <cp:lastModifiedBy>Esben Christensen</cp:lastModifiedBy>
  <cp:revision>1</cp:revision>
  <dcterms:created xsi:type="dcterms:W3CDTF">2014-10-17T10:14:00Z</dcterms:created>
  <dcterms:modified xsi:type="dcterms:W3CDTF">2014-10-17T10:15:00Z</dcterms:modified>
</cp:coreProperties>
</file>